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1859AC">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1859AC">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1859AC">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1859AC">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1859AC">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1859AC">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1859AC">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1859AC">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1859AC">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1859AC">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1859AC">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1859AC">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1859AC">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1859AC">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1859AC">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1859AC">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1859AC">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1859AC">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1859AC">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1859AC">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1859AC">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1859AC">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1859AC">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1859AC">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1859AC">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1859AC">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1859AC">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1859AC">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1859AC">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1859AC">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1859AC">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1859AC">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1859AC">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1859AC">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1859AC">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1859AC">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1859AC">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1859AC">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1859AC">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1859AC">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1859AC">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1859AC">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1859AC">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1859AC">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1859AC">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1859AC">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CE2F290" w:rsidR="00093CA9" w:rsidRDefault="00187B73" w:rsidP="00093CA9">
            <w:r w:rsidRPr="00187B73">
              <w:t>Olaniwun Ajayi</w:t>
            </w:r>
            <w:r w:rsidR="00AE6422">
              <w:t xml:space="preserve">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E2EE691" w:rsidR="00093CA9" w:rsidRDefault="00546A27" w:rsidP="00093CA9">
            <w:r w:rsidRPr="00546A27">
              <w:t>Nigerian Emission Trading Scheme (ETS)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052E36D" w:rsidR="00093CA9" w:rsidRDefault="001859AC" w:rsidP="00093CA9">
            <w:hyperlink r:id="rId17" w:history="1">
              <w:r w:rsidR="00533BF8" w:rsidRPr="00BC7141">
                <w:rPr>
                  <w:rStyle w:val="Hyperlink"/>
                </w:rPr>
                <w:t>https://rosehillgroupe.com/wp-content/uploads/2023/10/Carbon-Market.pdf</w:t>
              </w:r>
            </w:hyperlink>
            <w:r w:rsidR="00533BF8">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46575C0"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6A62401"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DB728D3" w:rsidR="00093CA9" w:rsidRDefault="00546A27"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72CD36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3D523993" w:rsidR="00093CA9" w:rsidRPr="00533BF8" w:rsidRDefault="00617510" w:rsidP="00533BF8">
            <w:pPr>
              <w:rPr>
                <w:lang w:val="en-US"/>
              </w:rPr>
            </w:pPr>
            <w:r>
              <w:rPr>
                <w:lang w:val="en-US"/>
              </w:rPr>
              <w:t xml:space="preserve">The policy tool is </w:t>
            </w:r>
            <w:r w:rsidR="00D03595" w:rsidRPr="00D03595">
              <w:rPr>
                <w:lang w:val="en-US"/>
              </w:rPr>
              <w:t xml:space="preserve">Nigeria’s Emissions Trading Scheme (ETS) </w:t>
            </w:r>
            <w:r w:rsidR="0097116D">
              <w:rPr>
                <w:lang w:val="en-US"/>
              </w:rPr>
              <w:t xml:space="preserve">which is to be introduced </w:t>
            </w:r>
            <w:r w:rsidR="00F62379">
              <w:rPr>
                <w:lang w:val="en-US"/>
              </w:rPr>
              <w:t>further to</w:t>
            </w:r>
            <w:r w:rsidR="00D03595" w:rsidRPr="00D03595">
              <w:rPr>
                <w:lang w:val="en-US"/>
              </w:rPr>
              <w:t xml:space="preserve"> the Climate Change Act of 2021</w:t>
            </w:r>
            <w:r w:rsidR="00F62379">
              <w:rPr>
                <w:lang w:val="en-US"/>
              </w:rPr>
              <w:t xml:space="preserve"> </w:t>
            </w:r>
            <w:r w:rsidR="00F62379" w:rsidRPr="00F62379">
              <w:t xml:space="preserve">to provide recommendations that will guide </w:t>
            </w:r>
            <w:r w:rsidR="00F62379">
              <w:t xml:space="preserve">Nigeria’s </w:t>
            </w:r>
            <w:r w:rsidR="00F62379" w:rsidRPr="00F62379">
              <w:t>transition to a green economy</w:t>
            </w:r>
            <w:r w:rsidR="00F62379">
              <w:t>. The ETS is intended to provide a framework</w:t>
            </w:r>
            <w:r w:rsidR="00D03595" w:rsidRPr="00D03595">
              <w:rPr>
                <w:lang w:val="en-US"/>
              </w:rPr>
              <w:t xml:space="preserve"> </w:t>
            </w:r>
            <w:r w:rsidR="00F62379" w:rsidRPr="00F62379">
              <w:t>for both voluntary and mandatory carbon markets, adopting strategies and other measures aligned with national aspirations and development plans</w:t>
            </w:r>
            <w:r w:rsidR="00D03595">
              <w:rPr>
                <w:lang w:val="en-US"/>
              </w:rPr>
              <w: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32E13231"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43790EBB" w:rsidR="00093CA9" w:rsidRDefault="007B5A31"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24B0B5B3" w:rsidR="00093CA9" w:rsidRPr="004B4EDF" w:rsidRDefault="006C334E" w:rsidP="004B4EDF">
            <w:pPr>
              <w:rPr>
                <w:lang w:val="en-US"/>
              </w:rPr>
            </w:pPr>
            <w:r>
              <w:rPr>
                <w:lang w:val="en-US"/>
              </w:rPr>
              <w:t>T</w:t>
            </w:r>
            <w:r w:rsidR="004B4EDF" w:rsidRPr="004B4EDF">
              <w:rPr>
                <w:lang w:val="en-US"/>
              </w:rPr>
              <w:t>he Climate Change Act of 2021</w:t>
            </w:r>
            <w:r w:rsidR="007B5A31">
              <w:rPr>
                <w:lang w:val="en-US"/>
              </w:rPr>
              <w:t xml:space="preserve"> provides the foundation for the development and establishment of an </w:t>
            </w:r>
            <w:r w:rsidR="007B5A31" w:rsidRPr="004B4EDF">
              <w:rPr>
                <w:lang w:val="en-US"/>
              </w:rPr>
              <w:t>Emissions Trading Scheme (ETS)</w:t>
            </w:r>
            <w:r w:rsidR="00845094">
              <w:rPr>
                <w:lang w:val="en-US"/>
              </w:rPr>
              <w:t>.</w:t>
            </w:r>
            <w:r w:rsidR="007B5A31" w:rsidRPr="004B4EDF">
              <w:rPr>
                <w:lang w:val="en-US"/>
              </w:rPr>
              <w:t xml:space="preserve"> </w:t>
            </w:r>
            <w:r w:rsidR="00845094">
              <w:rPr>
                <w:lang w:val="en-US"/>
              </w:rPr>
              <w:t xml:space="preserve">Accordingly, the Nigerian government has announced, since August 2022, </w:t>
            </w:r>
            <w:r w:rsidR="00845094" w:rsidRPr="00845094">
              <w:t>its intention to adopt and establish the Nigeria Emissions Trading Scheme</w:t>
            </w:r>
            <w:r w:rsidR="004B4EDF">
              <w:rPr>
                <w:lang w:val="en-US"/>
              </w:rPr>
              <w:t>.</w:t>
            </w:r>
            <w:r w:rsidR="00845094">
              <w:rPr>
                <w:lang w:val="en-US"/>
              </w:rPr>
              <w:t xml:space="preserve"> However, despite reports, commentaries and multiple references to the development of this ETS, a formal and official ETS is yet to be published.  </w:t>
            </w:r>
            <w:r w:rsidR="004B4EDF" w:rsidRPr="004B4EDF">
              <w:rPr>
                <w:lang w:val="en-US"/>
              </w:rPr>
              <w:t xml:space="preserve">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71BF54E" w:rsidR="00093CA9" w:rsidRPr="00173D7C" w:rsidRDefault="00845094" w:rsidP="00093CA9">
            <w:pPr>
              <w:rPr>
                <w:color w:val="000000" w:themeColor="text1"/>
              </w:rPr>
            </w:pPr>
            <w:r>
              <w:rPr>
                <w:color w:val="000000" w:themeColor="text1"/>
              </w:rPr>
              <w:t>Not applicable.</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95DB788" w:rsidR="00093CA9" w:rsidRPr="00173D7C" w:rsidRDefault="00845094" w:rsidP="00093CA9">
            <w:pPr>
              <w:rPr>
                <w:color w:val="000000" w:themeColor="text1"/>
              </w:rPr>
            </w:pPr>
            <w:r>
              <w:rPr>
                <w:color w:val="000000" w:themeColor="text1"/>
              </w:rPr>
              <w:t>Unknown</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845094">
            <w:pPr>
              <w:ind w:left="720"/>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28AA19E1" w:rsidR="00093CA9" w:rsidRPr="007419BF" w:rsidRDefault="00A57AB2" w:rsidP="00093CA9">
            <w:pPr>
              <w:rPr>
                <w:color w:val="000000" w:themeColor="text1"/>
              </w:rPr>
            </w:pPr>
            <w:r>
              <w:rPr>
                <w:color w:val="000000" w:themeColor="text1"/>
              </w:rPr>
              <w:t>Not Applicable</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EBFEB06" w:rsidR="00093CA9" w:rsidRDefault="007E295B" w:rsidP="00093CA9">
            <w:r>
              <w:t xml:space="preserve">To be issued by the </w:t>
            </w:r>
            <w:r w:rsidRPr="007E295B">
              <w:t>National Council on Climate Change</w:t>
            </w:r>
            <w:r w:rsidR="00DF0AC9" w:rsidRPr="00DF0AC9">
              <w:t>.</w:t>
            </w:r>
            <w:r w:rsidR="00DF0AC9">
              <w:t xml:space="preserve">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48BBB21D" w14:textId="22BDD299" w:rsidR="00DF0AC9" w:rsidRPr="00DF0AC9" w:rsidRDefault="007E295B" w:rsidP="00DF0AC9">
            <w:pPr>
              <w:rPr>
                <w:lang w:val="en-US"/>
              </w:rPr>
            </w:pPr>
            <w:r>
              <w:t xml:space="preserve">The </w:t>
            </w:r>
            <w:r w:rsidR="00DF0AC9" w:rsidRPr="00DF0AC9">
              <w:rPr>
                <w:lang w:val="en-US"/>
              </w:rPr>
              <w:t>National Council on Climate Change (NCCC)</w:t>
            </w:r>
            <w:r>
              <w:rPr>
                <w:lang w:val="en-US"/>
              </w:rPr>
              <w:t xml:space="preserve"> is to oversee the </w:t>
            </w:r>
            <w:r w:rsidR="00DF0AC9" w:rsidRPr="00DF0AC9">
              <w:rPr>
                <w:lang w:val="en-US"/>
              </w:rPr>
              <w:t>implementation</w:t>
            </w:r>
            <w:r>
              <w:rPr>
                <w:lang w:val="en-US"/>
              </w:rPr>
              <w:t xml:space="preserve"> of the ETS when published</w:t>
            </w:r>
            <w:r w:rsidR="00DF0AC9" w:rsidRPr="00DF0AC9">
              <w:rPr>
                <w:lang w:val="en-US"/>
              </w:rPr>
              <w:t>.</w:t>
            </w:r>
          </w:p>
          <w:p w14:paraId="58D97C26" w14:textId="63ACE271"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2D24172" w:rsidR="00093CA9" w:rsidRPr="006B7B0D" w:rsidRDefault="00DF0AC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6B8A277" w14:textId="31B45926" w:rsidR="00DF0AC9" w:rsidRPr="00DF0AC9" w:rsidRDefault="00DF0AC9" w:rsidP="00DF0AC9">
            <w:pPr>
              <w:rPr>
                <w:lang w:val="en-US"/>
              </w:rPr>
            </w:pPr>
            <w:r w:rsidRPr="00DF0AC9">
              <w:rPr>
                <w:lang w:val="en-US"/>
              </w:rPr>
              <w:t>Federal Ministry of Environment</w:t>
            </w:r>
            <w:r>
              <w:rPr>
                <w:b/>
                <w:bCs/>
                <w:lang w:val="en-US"/>
              </w:rPr>
              <w:t xml:space="preserve"> </w:t>
            </w:r>
            <w:r w:rsidR="00FA2299">
              <w:rPr>
                <w:lang w:val="en-US"/>
              </w:rPr>
              <w:t xml:space="preserve">– to collaborate with the NCCC and the </w:t>
            </w:r>
            <w:r w:rsidR="00FA2299" w:rsidRPr="00FA2299">
              <w:t>Federal Ministry of Trade &amp; Industries</w:t>
            </w:r>
            <w:r w:rsidRPr="00DF0AC9">
              <w:rPr>
                <w:lang w:val="en-US"/>
              </w:rPr>
              <w:t>.</w:t>
            </w:r>
          </w:p>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451189F7" w:rsidR="00093CA9" w:rsidRPr="006B7B0D" w:rsidRDefault="00DF0AC9" w:rsidP="00093CA9">
            <w:r>
              <w:t>X</w:t>
            </w:r>
          </w:p>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6D1E78EA"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639DFB1D" w14:textId="5DEF6B5F" w:rsidR="00DF0AC9" w:rsidRPr="00DF0AC9" w:rsidRDefault="00FA2299" w:rsidP="00DF0AC9">
            <w:pPr>
              <w:rPr>
                <w:lang w:val="en-US"/>
              </w:rPr>
            </w:pPr>
            <w:r w:rsidRPr="00FA2299">
              <w:t>Federal Ministry of Trade &amp; Industries</w:t>
            </w:r>
            <w:r>
              <w:t xml:space="preserve"> – to collaborate with the NCCC and </w:t>
            </w:r>
            <w:r w:rsidRPr="00FA2299">
              <w:t xml:space="preserve">Federal Ministry of </w:t>
            </w:r>
            <w:r>
              <w:t xml:space="preserve">Environment. </w:t>
            </w:r>
          </w:p>
          <w:p w14:paraId="51704B6A" w14:textId="3EB78005"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380DDDDA" w:rsidR="00093CA9" w:rsidRPr="006B7B0D" w:rsidRDefault="001353FC" w:rsidP="00093CA9">
            <w:r>
              <w:t>X</w:t>
            </w:r>
          </w:p>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0704B8D5"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3C2EB9F3" w:rsidR="00093CA9" w:rsidRDefault="005B1AF4"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13638A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3CA56C3D" w:rsidR="00093CA9" w:rsidRPr="00A86FBB" w:rsidRDefault="00093CA9" w:rsidP="00093CA9">
            <w:pPr>
              <w:keepNext/>
              <w:rPr>
                <w:color w:val="000000" w:themeColor="text1"/>
                <w:lang w:val="en-US"/>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6C334E"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41C71CA3"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41CAE695"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1FFCACAF"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6C334E"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6C334E"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2D1A38DA" w:rsidR="00D4323A" w:rsidRPr="00CF2E7C" w:rsidRDefault="00D4323A" w:rsidP="00CF2E7C">
            <w:pPr>
              <w:rPr>
                <w:rFonts w:ascii="Calibri" w:hAnsi="Calibri" w:cs="Calibri"/>
              </w:rPr>
            </w:pPr>
          </w:p>
        </w:tc>
        <w:tc>
          <w:tcPr>
            <w:tcW w:w="1674" w:type="dxa"/>
            <w:vAlign w:val="center"/>
          </w:tcPr>
          <w:p w14:paraId="38FE491C" w14:textId="31B2A2BF" w:rsidR="00D4323A" w:rsidRPr="00CF2E7C" w:rsidRDefault="00646FDD" w:rsidP="00CF2E7C">
            <w:pPr>
              <w:rPr>
                <w:rFonts w:ascii="Calibri" w:hAnsi="Calibri" w:cs="Calibri"/>
              </w:rPr>
            </w:pPr>
            <w:r>
              <w:rPr>
                <w:rFonts w:ascii="Calibri" w:hAnsi="Calibri" w:cs="Calibri"/>
              </w:rPr>
              <w:t>X</w:t>
            </w: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48661DE6" w:rsidR="00D4323A" w:rsidRPr="00CF2E7C" w:rsidRDefault="00646FDD" w:rsidP="00CF2E7C">
            <w:pPr>
              <w:rPr>
                <w:rFonts w:ascii="Calibri" w:hAnsi="Calibri" w:cs="Calibri"/>
              </w:rPr>
            </w:pPr>
            <w:r>
              <w:rPr>
                <w:rFonts w:ascii="Calibri" w:hAnsi="Calibri" w:cs="Calibri"/>
              </w:rPr>
              <w:t>X</w:t>
            </w:r>
          </w:p>
        </w:tc>
        <w:tc>
          <w:tcPr>
            <w:tcW w:w="1723" w:type="dxa"/>
            <w:vAlign w:val="center"/>
          </w:tcPr>
          <w:p w14:paraId="761CE175" w14:textId="1095E45D"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61667529" w:rsidR="00D4323A" w:rsidRPr="00CF2E7C" w:rsidRDefault="00646FDD"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2509AA23" w:rsidR="00D4323A" w:rsidRPr="00CF2E7C" w:rsidRDefault="00A16C29" w:rsidP="00CF2E7C">
            <w:pPr>
              <w:rPr>
                <w:rFonts w:ascii="Calibri" w:hAnsi="Calibri" w:cs="Calibri"/>
              </w:rPr>
            </w:pPr>
            <w:r>
              <w:rPr>
                <w:rFonts w:ascii="Calibri" w:hAnsi="Calibri" w:cs="Calibri"/>
              </w:rPr>
              <w:t>X</w:t>
            </w:r>
          </w:p>
        </w:tc>
        <w:tc>
          <w:tcPr>
            <w:tcW w:w="1723" w:type="dxa"/>
            <w:vAlign w:val="center"/>
          </w:tcPr>
          <w:p w14:paraId="3CC6459C" w14:textId="7ED0D8C1"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2F9E128B" w:rsidR="00D4323A" w:rsidRPr="00CF2E7C" w:rsidRDefault="00646FDD" w:rsidP="00CF2E7C">
            <w:pPr>
              <w:rPr>
                <w:rFonts w:ascii="Calibri" w:hAnsi="Calibri" w:cs="Calibri"/>
              </w:rPr>
            </w:pPr>
            <w:r>
              <w:rPr>
                <w:rFonts w:ascii="Calibri" w:hAnsi="Calibri" w:cs="Calibri"/>
              </w:rPr>
              <w:t>X</w:t>
            </w: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2D184E5D" w:rsidR="00D4323A" w:rsidRPr="00CF2E7C" w:rsidRDefault="00A16C29" w:rsidP="00CF2E7C">
            <w:pPr>
              <w:rPr>
                <w:rFonts w:ascii="Calibri" w:hAnsi="Calibri" w:cs="Calibri"/>
              </w:rPr>
            </w:pPr>
            <w:r>
              <w:rPr>
                <w:rFonts w:ascii="Calibri" w:hAnsi="Calibri" w:cs="Calibri"/>
              </w:rPr>
              <w:t>X</w:t>
            </w:r>
          </w:p>
        </w:tc>
        <w:tc>
          <w:tcPr>
            <w:tcW w:w="1723" w:type="dxa"/>
            <w:vAlign w:val="center"/>
          </w:tcPr>
          <w:p w14:paraId="0590EE0A" w14:textId="18830F25"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02840A6" w:rsidR="00D4323A" w:rsidRPr="00CF2E7C" w:rsidRDefault="00646FDD" w:rsidP="00CF2E7C">
            <w:pPr>
              <w:rPr>
                <w:rFonts w:ascii="Calibri" w:hAnsi="Calibri" w:cs="Calibri"/>
              </w:rPr>
            </w:pPr>
            <w:r>
              <w:rPr>
                <w:rFonts w:ascii="Calibri" w:hAnsi="Calibri" w:cs="Calibri"/>
              </w:rPr>
              <w:t>X</w:t>
            </w: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401310" w:rsidR="00D4323A" w:rsidRPr="00CF2E7C" w:rsidRDefault="00646FDD" w:rsidP="00CF2E7C">
            <w:pPr>
              <w:rPr>
                <w:rFonts w:ascii="Calibri" w:hAnsi="Calibri" w:cs="Calibri"/>
              </w:rPr>
            </w:pPr>
            <w:r>
              <w:rPr>
                <w:rFonts w:ascii="Calibri" w:hAnsi="Calibri" w:cs="Calibri"/>
              </w:rPr>
              <w:t>X</w:t>
            </w: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5345199D" w:rsidR="00D4323A" w:rsidRPr="00CF2E7C" w:rsidRDefault="00646FDD" w:rsidP="00CF2E7C">
            <w:pPr>
              <w:rPr>
                <w:rFonts w:ascii="Calibri" w:hAnsi="Calibri" w:cs="Calibri"/>
              </w:rPr>
            </w:pPr>
            <w:r>
              <w:rPr>
                <w:rFonts w:ascii="Calibri" w:hAnsi="Calibri" w:cs="Calibri"/>
              </w:rPr>
              <w:t>X</w:t>
            </w: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1CF478E0" w:rsidR="00D4323A" w:rsidRPr="00CF2E7C" w:rsidRDefault="00646FDD" w:rsidP="00CF2E7C">
            <w:pPr>
              <w:rPr>
                <w:rFonts w:ascii="Calibri" w:hAnsi="Calibri" w:cs="Calibri"/>
              </w:rPr>
            </w:pPr>
            <w:r>
              <w:rPr>
                <w:rFonts w:ascii="Calibri" w:hAnsi="Calibri" w:cs="Calibri"/>
              </w:rPr>
              <w:t>X</w:t>
            </w: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69CDDEDF" w:rsidR="00D4323A" w:rsidRPr="00CF2E7C" w:rsidRDefault="00646FDD" w:rsidP="00CF2E7C">
            <w:pPr>
              <w:rPr>
                <w:rFonts w:ascii="Calibri" w:hAnsi="Calibri" w:cs="Calibri"/>
              </w:rPr>
            </w:pPr>
            <w:r>
              <w:rPr>
                <w:rFonts w:ascii="Calibri" w:hAnsi="Calibri" w:cs="Calibri"/>
              </w:rPr>
              <w:t>X</w:t>
            </w: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22914EC7" w:rsidR="00D4323A" w:rsidRPr="00CF2E7C" w:rsidRDefault="00D4323A" w:rsidP="00CF2E7C">
            <w:pPr>
              <w:rPr>
                <w:rFonts w:ascii="Calibri" w:hAnsi="Calibri" w:cs="Calibri"/>
              </w:rPr>
            </w:pPr>
          </w:p>
        </w:tc>
        <w:tc>
          <w:tcPr>
            <w:tcW w:w="1723" w:type="dxa"/>
            <w:vAlign w:val="center"/>
          </w:tcPr>
          <w:p w14:paraId="19AEE9B2" w14:textId="3B87E5BC" w:rsidR="00D4323A" w:rsidRPr="00CF2E7C" w:rsidRDefault="00520B6A"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67853509" w:rsidR="00092534" w:rsidRPr="00CF2E7C" w:rsidRDefault="00092534" w:rsidP="00CF2E7C">
            <w:pPr>
              <w:rPr>
                <w:rFonts w:ascii="Calibri" w:hAnsi="Calibri" w:cs="Calibri"/>
              </w:rPr>
            </w:pPr>
          </w:p>
        </w:tc>
        <w:tc>
          <w:tcPr>
            <w:tcW w:w="1723" w:type="dxa"/>
            <w:vAlign w:val="center"/>
          </w:tcPr>
          <w:p w14:paraId="6F8D0958" w14:textId="0D912C32"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C508F01"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398B196B"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285AE1AF"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4190B8D0" w:rsidR="00092534" w:rsidRPr="00CF2E7C" w:rsidRDefault="00092534" w:rsidP="00CF2E7C">
            <w:pPr>
              <w:rPr>
                <w:rFonts w:ascii="Calibri" w:hAnsi="Calibri" w:cs="Calibri"/>
              </w:rPr>
            </w:pPr>
          </w:p>
        </w:tc>
        <w:tc>
          <w:tcPr>
            <w:tcW w:w="1723" w:type="dxa"/>
            <w:vAlign w:val="center"/>
          </w:tcPr>
          <w:p w14:paraId="049CC376" w14:textId="7002EA92"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680ECCEA"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1AD8268B" w:rsidR="00092534" w:rsidRPr="00CF2E7C" w:rsidRDefault="00092534" w:rsidP="00CF2E7C">
            <w:pPr>
              <w:rPr>
                <w:rFonts w:ascii="Calibri" w:hAnsi="Calibri" w:cs="Calibri"/>
              </w:rPr>
            </w:pPr>
          </w:p>
        </w:tc>
        <w:tc>
          <w:tcPr>
            <w:tcW w:w="1723" w:type="dxa"/>
            <w:vAlign w:val="center"/>
          </w:tcPr>
          <w:p w14:paraId="51496CE3" w14:textId="50B43B98"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18C8EEAA"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6F78BEE1"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063FB6C0"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5552A4B6"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5E85C676"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4D1B8FBB"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3565E43B" w:rsidR="00092534" w:rsidRPr="00CF2E7C" w:rsidRDefault="00092534" w:rsidP="00CF2E7C">
            <w:pPr>
              <w:rPr>
                <w:rFonts w:ascii="Calibri" w:hAnsi="Calibri" w:cs="Calibri"/>
              </w:rPr>
            </w:pPr>
          </w:p>
        </w:tc>
        <w:tc>
          <w:tcPr>
            <w:tcW w:w="1723" w:type="dxa"/>
            <w:vAlign w:val="center"/>
          </w:tcPr>
          <w:p w14:paraId="1042892F" w14:textId="5FB09661"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20F18979" w:rsidR="00092534" w:rsidRPr="00CF2E7C" w:rsidRDefault="00092534" w:rsidP="00CF2E7C">
            <w:pPr>
              <w:rPr>
                <w:rFonts w:ascii="Calibri" w:hAnsi="Calibri" w:cs="Calibri"/>
              </w:rPr>
            </w:pPr>
          </w:p>
        </w:tc>
        <w:tc>
          <w:tcPr>
            <w:tcW w:w="1723" w:type="dxa"/>
            <w:vAlign w:val="center"/>
          </w:tcPr>
          <w:p w14:paraId="10C4AFD3" w14:textId="7179F285"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6D3398DB"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6F7C08B6" w:rsidR="00092534" w:rsidRPr="00CF2E7C" w:rsidRDefault="00092534" w:rsidP="00CF2E7C">
            <w:pPr>
              <w:rPr>
                <w:rFonts w:ascii="Calibri" w:hAnsi="Calibri" w:cs="Calibri"/>
              </w:rPr>
            </w:pPr>
          </w:p>
        </w:tc>
        <w:tc>
          <w:tcPr>
            <w:tcW w:w="1723" w:type="dxa"/>
            <w:vAlign w:val="center"/>
          </w:tcPr>
          <w:p w14:paraId="36548C61" w14:textId="2128B674"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0467116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01134376"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6C334E"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A57BF23" w:rsidR="00092534" w:rsidRPr="00CF2E7C" w:rsidRDefault="00B11965"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FF2EEDC" w:rsidR="00DB1E72" w:rsidRPr="00CF2E7C" w:rsidRDefault="006A703D" w:rsidP="00CF2E7C">
            <w:pPr>
              <w:rPr>
                <w:rFonts w:ascii="Calibri" w:hAnsi="Calibri" w:cs="Calibri"/>
              </w:rPr>
            </w:pPr>
            <w:r>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5B0FAB54" w:rsidR="00092534" w:rsidRPr="00CF2E7C" w:rsidRDefault="00520B6A" w:rsidP="00CF2E7C">
            <w:pPr>
              <w:rPr>
                <w:rFonts w:ascii="Calibri" w:hAnsi="Calibri" w:cs="Calibri"/>
              </w:rPr>
            </w:pPr>
            <w:r>
              <w:rPr>
                <w:rFonts w:ascii="Calibri" w:hAnsi="Calibri" w:cs="Calibri"/>
              </w:rPr>
              <w:t>X</w:t>
            </w: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032CAED4"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6A703D" w:rsidRDefault="00092534" w:rsidP="009B0C5E">
            <w:pPr>
              <w:ind w:left="720"/>
              <w:rPr>
                <w:rFonts w:ascii="Calibri" w:hAnsi="Calibri" w:cs="Calibri"/>
                <w:lang w:val="en-US"/>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5C86449A" w:rsidR="00092534" w:rsidRPr="00CF2E7C" w:rsidRDefault="009C5F3D"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5708DACD" w:rsidR="00D46B07" w:rsidRPr="00CF2E7C" w:rsidRDefault="009E76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7A4F56C3" w:rsidR="00D46B07" w:rsidRPr="00CF2E7C" w:rsidRDefault="009E76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4149EDD8" w:rsidR="00D46B07" w:rsidRPr="00CF2E7C" w:rsidRDefault="009E76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7F90162D" w:rsidR="00D46B07" w:rsidRPr="00CF2E7C" w:rsidRDefault="009E76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209BEBB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18ADD5FF"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C010C2">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5FF7524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7CD70151"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C732DC">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2E1D5C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5F5A8400"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C732DC">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55E2E779" w:rsidR="00D46B07" w:rsidRPr="00CF2E7C" w:rsidRDefault="00C23BA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24CB71A4" w:rsidR="00D46B07" w:rsidRPr="00CF2E7C" w:rsidRDefault="00C732D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134CA8E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11965">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0573A53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0772441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23BAC">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45ABF35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23BAC">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2BD355C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526F10D0" w:rsidR="00702413" w:rsidRPr="00CF2E7C" w:rsidRDefault="009B0C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X</w:t>
            </w:r>
            <w:r w:rsidR="00702413" w:rsidRPr="00CF2E7C">
              <w:rPr>
                <w:rFonts w:ascii="Calibri" w:eastAsia="Times New Roman" w:hAnsi="Calibri" w:cs="Calibri"/>
                <w:kern w:val="0"/>
                <w:lang w:val="en-US"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3A16DD5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23BAC">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E4ACC9" w14:textId="304F1FE8" w:rsidR="0098511B" w:rsidRPr="0098511B" w:rsidRDefault="0098511B" w:rsidP="0098511B">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w:t>
            </w:r>
            <w:r w:rsidRPr="0098511B">
              <w:rPr>
                <w:rFonts w:ascii="Calibri" w:eastAsia="Times New Roman" w:hAnsi="Calibri" w:cs="Calibri"/>
                <w:kern w:val="0"/>
                <w:lang w:val="en-US" w:eastAsia="en-GB"/>
                <w14:ligatures w14:val="none"/>
              </w:rPr>
              <w:t xml:space="preserve">he Nigerian ETS </w:t>
            </w:r>
            <w:r w:rsidR="00CB02AD">
              <w:rPr>
                <w:rFonts w:ascii="Calibri" w:eastAsia="Times New Roman" w:hAnsi="Calibri" w:cs="Calibri"/>
                <w:kern w:val="0"/>
                <w:lang w:val="en-US" w:eastAsia="en-GB"/>
                <w14:ligatures w14:val="none"/>
              </w:rPr>
              <w:t>recognises</w:t>
            </w:r>
            <w:r w:rsidRPr="0098511B">
              <w:rPr>
                <w:rFonts w:ascii="Calibri" w:eastAsia="Times New Roman" w:hAnsi="Calibri" w:cs="Calibri"/>
                <w:kern w:val="0"/>
                <w:lang w:val="en-US" w:eastAsia="en-GB"/>
                <w14:ligatures w14:val="none"/>
              </w:rPr>
              <w:t xml:space="preserve"> the use of a registry</w:t>
            </w:r>
            <w:r>
              <w:rPr>
                <w:rFonts w:ascii="Calibri" w:eastAsia="Times New Roman" w:hAnsi="Calibri" w:cs="Calibri"/>
                <w:kern w:val="0"/>
                <w:lang w:val="en-US" w:eastAsia="en-GB"/>
                <w14:ligatures w14:val="none"/>
              </w:rPr>
              <w:t xml:space="preserve"> to a</w:t>
            </w:r>
            <w:r w:rsidRPr="0098511B">
              <w:rPr>
                <w:rFonts w:ascii="Calibri" w:eastAsia="Times New Roman" w:hAnsi="Calibri" w:cs="Calibri"/>
                <w:kern w:val="0"/>
                <w:lang w:val="en-US" w:eastAsia="en-GB"/>
                <w14:ligatures w14:val="none"/>
              </w:rPr>
              <w:t xml:space="preserve">lign with Article 6 of the Paris Agreement </w:t>
            </w:r>
            <w:r w:rsidR="00CB02AD">
              <w:rPr>
                <w:rFonts w:ascii="Calibri" w:eastAsia="Times New Roman" w:hAnsi="Calibri" w:cs="Calibri"/>
                <w:kern w:val="0"/>
                <w:lang w:val="en-US" w:eastAsia="en-GB"/>
                <w14:ligatures w14:val="none"/>
              </w:rPr>
              <w:t xml:space="preserve">and </w:t>
            </w:r>
            <w:r w:rsidR="00CB02AD" w:rsidRPr="00CB02AD">
              <w:rPr>
                <w:rFonts w:ascii="Calibri" w:eastAsia="Times New Roman" w:hAnsi="Calibri" w:cs="Calibri"/>
                <w:kern w:val="0"/>
                <w:lang w:eastAsia="en-GB"/>
                <w14:ligatures w14:val="none"/>
              </w:rPr>
              <w:t>to measure, report and verify emission reductions</w:t>
            </w:r>
            <w:r w:rsidRPr="0098511B">
              <w:rPr>
                <w:rFonts w:ascii="Calibri" w:eastAsia="Times New Roman" w:hAnsi="Calibri" w:cs="Calibri"/>
                <w:kern w:val="0"/>
                <w:lang w:val="en-US" w:eastAsia="en-GB"/>
                <w14:ligatures w14:val="none"/>
              </w:rPr>
              <w:t>.</w:t>
            </w:r>
            <w:r>
              <w:rPr>
                <w:rFonts w:ascii="Calibri" w:eastAsia="Times New Roman" w:hAnsi="Calibri" w:cs="Calibri"/>
                <w:kern w:val="0"/>
                <w:lang w:val="en-US" w:eastAsia="en-GB"/>
                <w14:ligatures w14:val="none"/>
              </w:rPr>
              <w:t xml:space="preserve"> </w:t>
            </w:r>
          </w:p>
          <w:p w14:paraId="38C2165D" w14:textId="79A39DBE" w:rsidR="0098511B" w:rsidRPr="00CF2E7C" w:rsidRDefault="0098511B"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018A8680" w:rsidR="00343937" w:rsidRPr="00CF2E7C" w:rsidRDefault="00B7747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4DA7AD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77471">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6687D1D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0389CE5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B02AD">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3BF2F19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44C07">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58BCCF8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5E71EFD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B02AD">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076B56F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44C07">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0A66F39E" w:rsidR="00343937" w:rsidRPr="00CF2E7C" w:rsidRDefault="00895B2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makes reference to s</w:t>
            </w:r>
            <w:r w:rsidRPr="00895B2E">
              <w:rPr>
                <w:rFonts w:ascii="Calibri" w:eastAsia="Times New Roman" w:hAnsi="Calibri" w:cs="Calibri"/>
                <w:kern w:val="0"/>
                <w:lang w:eastAsia="en-GB"/>
                <w14:ligatures w14:val="none"/>
              </w:rPr>
              <w:t>ub-section 6.2 of the Paris Agreement</w:t>
            </w:r>
            <w:r>
              <w:rPr>
                <w:rFonts w:ascii="Calibri" w:eastAsia="Times New Roman" w:hAnsi="Calibri" w:cs="Calibri"/>
                <w:kern w:val="0"/>
                <w:lang w:eastAsia="en-GB"/>
                <w14:ligatures w14:val="none"/>
              </w:rPr>
              <w:t xml:space="preserve"> which</w:t>
            </w:r>
            <w:r w:rsidRPr="00895B2E">
              <w:rPr>
                <w:rFonts w:ascii="Calibri" w:eastAsia="Times New Roman" w:hAnsi="Calibri" w:cs="Calibri"/>
                <w:kern w:val="0"/>
                <w:lang w:eastAsia="en-GB"/>
                <w14:ligatures w14:val="none"/>
              </w:rPr>
              <w:t xml:space="preserve"> calls for transparency and the avoidance of double counting when two parties engage in the international transfer of emission reductions, known as Mitigation Outcomes. Under this provision, one party may reduce carbon emissions and transfer those reductions to another party, which can then count them toward its NDC targets, with the receiving party typically providing financial compensation to the transferring party.</w:t>
            </w:r>
            <w:r>
              <w:rPr>
                <w:rFonts w:ascii="Calibri" w:eastAsia="Times New Roman" w:hAnsi="Calibri" w:cs="Calibri"/>
                <w:kern w:val="0"/>
                <w:lang w:eastAsia="en-GB"/>
                <w14:ligatures w14:val="none"/>
              </w:rPr>
              <w:t xml:space="preserve"> (Page 9 Paragraph 2)</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566921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1A2C87B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34B73">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E8BA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34B73">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4CC15AB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34B73">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A34B73" w:rsidRDefault="00343937" w:rsidP="00A34B73">
            <w:pPr>
              <w:textAlignment w:val="baseline"/>
              <w:rPr>
                <w:rFonts w:ascii="Calibri" w:eastAsia="Times New Roman" w:hAnsi="Calibri" w:cs="Calibri"/>
                <w:kern w:val="0"/>
                <w:lang w:val="en-US"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6C260A24" w:rsidR="000A6F11" w:rsidRPr="00CF2E7C" w:rsidRDefault="00A34B7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1F1B7CE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34B73">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0C8C9FD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09DDF4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732DC">
              <w:rPr>
                <w:rFonts w:ascii="Calibri" w:eastAsia="Times New Roman" w:hAnsi="Calibri" w:cs="Calibri"/>
                <w:kern w:val="0"/>
                <w:lang w:eastAsia="en-GB"/>
                <w14:ligatures w14:val="none"/>
              </w:rPr>
              <w:t>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25258408" w:rsidR="00047A9C" w:rsidRPr="00CF2E7C" w:rsidRDefault="00A34B7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6700758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34B73">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17A8E95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34B73">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460BDA9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34B73">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4FCE7B1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34B73">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5E000A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02CF">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184DAA7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02CF">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460C1AD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02CF">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47A1768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02CF">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28AE683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02CF">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4235E5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02CF">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2133259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02CF">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34E3C61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02CF">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5BB11E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302CF">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65CBECA7" w:rsidR="00DD694D" w:rsidRPr="00CF2E7C" w:rsidRDefault="000302C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2FE892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D0813">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084B6BF1"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D0813">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540AF2B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430ED1C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B02AD">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2A9314C4"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679069A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B02AD">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438FB7D4"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2A31622A"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B02AD">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7ABD2B8D" w:rsidR="00DD694D" w:rsidRPr="00CF2E7C" w:rsidRDefault="009D08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CB02AD">
              <w:rPr>
                <w:rFonts w:ascii="Calibri" w:eastAsia="Times New Roman" w:hAnsi="Calibri" w:cs="Calibri"/>
                <w:kern w:val="0"/>
                <w:lang w:eastAsia="en-GB"/>
                <w14:ligatures w14:val="none"/>
              </w:rPr>
              <w:t xml:space="preserve">It recommends the adoption, for voluntary trading, of the </w:t>
            </w:r>
            <w:r w:rsidRPr="009D0813">
              <w:rPr>
                <w:rFonts w:ascii="Calibri" w:eastAsia="Times New Roman" w:hAnsi="Calibri" w:cs="Calibri"/>
                <w:kern w:val="0"/>
                <w:lang w:eastAsia="en-GB"/>
                <w14:ligatures w14:val="none"/>
              </w:rPr>
              <w:t>Gold Standard (GS)</w:t>
            </w:r>
            <w:r w:rsidR="00CB02AD">
              <w:rPr>
                <w:rFonts w:ascii="Calibri" w:eastAsia="Times New Roman" w:hAnsi="Calibri" w:cs="Calibri"/>
                <w:kern w:val="0"/>
                <w:lang w:eastAsia="en-GB"/>
                <w14:ligatures w14:val="none"/>
              </w:rPr>
              <w:t xml:space="preserve"> which</w:t>
            </w:r>
            <w:r w:rsidRPr="009D0813">
              <w:rPr>
                <w:rFonts w:ascii="Calibri" w:eastAsia="Times New Roman" w:hAnsi="Calibri" w:cs="Calibri"/>
                <w:kern w:val="0"/>
                <w:lang w:eastAsia="en-GB"/>
                <w14:ligatures w14:val="none"/>
              </w:rPr>
              <w:t xml:space="preserve"> prioritizes alignment with the United Nations Sustainable Development Goals (SDGs) and requires projects to demonstrate clear co-benefits for neighboring communities. To be accepted under GS, projects must assess and document their social impacts, ensuring that local communities benefit from project activities.</w:t>
            </w:r>
            <w:r>
              <w:rPr>
                <w:rFonts w:ascii="Calibri" w:eastAsia="Times New Roman" w:hAnsi="Calibri" w:cs="Calibri"/>
                <w:kern w:val="0"/>
                <w:lang w:eastAsia="en-GB"/>
                <w14:ligatures w14:val="none"/>
              </w:rPr>
              <w:t xml:space="preserve"> (Page 7, Paragraphs 1 and 3)</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1CAE9A83" w:rsidR="00B87C89" w:rsidRPr="00CF2E7C" w:rsidRDefault="009D081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5011F713" w:rsidR="00B87C89" w:rsidRPr="00CF2E7C" w:rsidRDefault="00CF6BC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Not specified in the policy tool</w:t>
            </w: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553C2789" w:rsidR="002119B6" w:rsidRPr="00CF2E7C" w:rsidRDefault="00CF6BC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588597C4" w:rsidR="00FE7FA5" w:rsidRPr="00CF2E7C" w:rsidRDefault="00163BA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093F4FE7" w:rsidR="00FE7FA5" w:rsidRPr="00CF2E7C" w:rsidRDefault="00163BA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1F1F7075" w:rsidR="00FE7FA5" w:rsidRPr="00CF2E7C" w:rsidRDefault="00163BA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Pr="00163BA2">
              <w:rPr>
                <w:rFonts w:ascii="Calibri" w:eastAsia="Times New Roman" w:hAnsi="Calibri" w:cs="Calibri"/>
                <w:kern w:val="0"/>
                <w:lang w:eastAsia="en-GB"/>
                <w14:ligatures w14:val="none"/>
              </w:rPr>
              <w:t>Companies and individuals can purchase carbon credits directly from projects, companies, or carbon funds. However, as in regulated markets, all Verified Emission Reductions (VERs) must be verified by an independent third party and developed in accordance with established VER standards.</w:t>
            </w:r>
            <w:r>
              <w:rPr>
                <w:rFonts w:ascii="Calibri" w:eastAsia="Times New Roman" w:hAnsi="Calibri" w:cs="Calibri"/>
                <w:kern w:val="0"/>
                <w:lang w:eastAsia="en-GB"/>
                <w14:ligatures w14:val="none"/>
              </w:rPr>
              <w:t xml:space="preserve"> (Page 5 Paragraph 3)</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40962033" w:rsidR="00FE7FA5" w:rsidRPr="00CF2E7C" w:rsidRDefault="00163BA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40144A">
              <w:rPr>
                <w:rFonts w:ascii="Calibri" w:eastAsia="Times New Roman" w:hAnsi="Calibri" w:cs="Calibri"/>
                <w:kern w:val="0"/>
                <w:lang w:eastAsia="en-GB"/>
                <w14:ligatures w14:val="none"/>
              </w:rPr>
              <w:t>Yes, the type of credit to be used is in the voluntary carbon market is the Verified Emission Reduction (VER) credit</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5C141DD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2A6ABE5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E5C56">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09D984D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144A">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8C98F4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144A">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6789B37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144A">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28B5AF3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144A">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5D0FE7E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144A">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463FC28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144A">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1717D2A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0144A">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502053" w14:textId="77777777" w:rsidR="00FE7FA5" w:rsidRDefault="0040144A" w:rsidP="0040144A">
            <w:pPr>
              <w:pStyle w:val="ListParagraph"/>
              <w:numPr>
                <w:ilvl w:val="0"/>
                <w:numId w:val="52"/>
              </w:numPr>
              <w:textAlignment w:val="baseline"/>
              <w:rPr>
                <w:rFonts w:ascii="Calibri" w:eastAsia="Times New Roman" w:hAnsi="Calibri" w:cs="Calibri"/>
                <w:kern w:val="0"/>
                <w:lang w:eastAsia="en-GB"/>
                <w14:ligatures w14:val="none"/>
              </w:rPr>
            </w:pPr>
            <w:r w:rsidRPr="0040144A">
              <w:rPr>
                <w:rFonts w:ascii="Calibri" w:eastAsia="Times New Roman" w:hAnsi="Calibri" w:cs="Calibri"/>
                <w:kern w:val="0"/>
                <w:lang w:eastAsia="en-GB"/>
                <w14:ligatures w14:val="none"/>
              </w:rPr>
              <w:t>United Nations Framework Convention on Climate Change (UNFCCC)</w:t>
            </w:r>
          </w:p>
          <w:p w14:paraId="05C39F63" w14:textId="010AD2CA" w:rsidR="00965CB9" w:rsidRDefault="001859AC" w:rsidP="00965CB9">
            <w:pPr>
              <w:pStyle w:val="ListParagraph"/>
              <w:ind w:left="410"/>
              <w:textAlignment w:val="baseline"/>
              <w:rPr>
                <w:rFonts w:ascii="Calibri" w:eastAsia="Times New Roman" w:hAnsi="Calibri" w:cs="Calibri"/>
                <w:kern w:val="0"/>
                <w:lang w:eastAsia="en-GB"/>
                <w14:ligatures w14:val="none"/>
              </w:rPr>
            </w:pPr>
            <w:hyperlink r:id="rId18" w:history="1">
              <w:r w:rsidR="005E5C56" w:rsidRPr="00BC7141">
                <w:rPr>
                  <w:rStyle w:val="Hyperlink"/>
                  <w:rFonts w:ascii="Calibri" w:eastAsia="Times New Roman" w:hAnsi="Calibri" w:cs="Calibri"/>
                  <w:kern w:val="0"/>
                  <w:lang w:eastAsia="en-GB"/>
                  <w14:ligatures w14:val="none"/>
                </w:rPr>
                <w:t>https://unfccc.int/resource/docs/convkp/conveng.pdf</w:t>
              </w:r>
            </w:hyperlink>
            <w:r w:rsidR="005E5C56">
              <w:rPr>
                <w:rFonts w:ascii="Calibri" w:eastAsia="Times New Roman" w:hAnsi="Calibri" w:cs="Calibri"/>
                <w:kern w:val="0"/>
                <w:lang w:eastAsia="en-GB"/>
                <w14:ligatures w14:val="none"/>
              </w:rPr>
              <w:t xml:space="preserve"> </w:t>
            </w:r>
          </w:p>
          <w:p w14:paraId="35D46553" w14:textId="6EA11BB4" w:rsidR="0040144A" w:rsidRDefault="0040144A" w:rsidP="0040144A">
            <w:pPr>
              <w:pStyle w:val="ListParagraph"/>
              <w:numPr>
                <w:ilvl w:val="0"/>
                <w:numId w:val="52"/>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Kyoto Protocol</w:t>
            </w:r>
            <w:r w:rsidR="00085C0E">
              <w:rPr>
                <w:rFonts w:ascii="Calibri" w:eastAsia="Times New Roman" w:hAnsi="Calibri" w:cs="Calibri"/>
                <w:kern w:val="0"/>
                <w:lang w:eastAsia="en-GB"/>
                <w14:ligatures w14:val="none"/>
              </w:rPr>
              <w:t xml:space="preserve"> to the </w:t>
            </w:r>
            <w:r w:rsidR="00085C0E" w:rsidRPr="0040144A">
              <w:rPr>
                <w:rFonts w:ascii="Calibri" w:eastAsia="Times New Roman" w:hAnsi="Calibri" w:cs="Calibri"/>
                <w:kern w:val="0"/>
                <w:lang w:eastAsia="en-GB"/>
                <w14:ligatures w14:val="none"/>
              </w:rPr>
              <w:t>United Nations Framework Convention on Climate Change</w:t>
            </w:r>
          </w:p>
          <w:p w14:paraId="663F9258" w14:textId="7A438EDF" w:rsidR="00965CB9" w:rsidRDefault="001859AC" w:rsidP="00085C0E">
            <w:pPr>
              <w:pStyle w:val="ListParagraph"/>
              <w:ind w:left="410"/>
              <w:textAlignment w:val="baseline"/>
              <w:rPr>
                <w:rFonts w:ascii="Calibri" w:eastAsia="Times New Roman" w:hAnsi="Calibri" w:cs="Calibri"/>
                <w:kern w:val="0"/>
                <w:lang w:eastAsia="en-GB"/>
                <w14:ligatures w14:val="none"/>
              </w:rPr>
            </w:pPr>
            <w:hyperlink r:id="rId19" w:history="1">
              <w:r w:rsidR="005E5C56" w:rsidRPr="00BC7141">
                <w:rPr>
                  <w:rStyle w:val="Hyperlink"/>
                  <w:rFonts w:ascii="Calibri" w:eastAsia="Times New Roman" w:hAnsi="Calibri" w:cs="Calibri"/>
                  <w:kern w:val="0"/>
                  <w:lang w:eastAsia="en-GB"/>
                  <w14:ligatures w14:val="none"/>
                </w:rPr>
                <w:t>https://unfccc.int/resource/docs/convkp/kpeng.pdf</w:t>
              </w:r>
            </w:hyperlink>
            <w:r w:rsidR="005E5C56">
              <w:rPr>
                <w:rFonts w:ascii="Calibri" w:eastAsia="Times New Roman" w:hAnsi="Calibri" w:cs="Calibri"/>
                <w:kern w:val="0"/>
                <w:lang w:eastAsia="en-GB"/>
                <w14:ligatures w14:val="none"/>
              </w:rPr>
              <w:t xml:space="preserve"> </w:t>
            </w:r>
          </w:p>
          <w:p w14:paraId="2F8134C3" w14:textId="77777777" w:rsidR="0040144A" w:rsidRDefault="0040144A" w:rsidP="0040144A">
            <w:pPr>
              <w:pStyle w:val="ListParagraph"/>
              <w:numPr>
                <w:ilvl w:val="0"/>
                <w:numId w:val="52"/>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Paris Agreement (Article 6)</w:t>
            </w:r>
          </w:p>
          <w:p w14:paraId="4009BFE0" w14:textId="0099E2DF" w:rsidR="0040144A" w:rsidRDefault="001859AC" w:rsidP="00965CB9">
            <w:pPr>
              <w:pStyle w:val="ListParagraph"/>
              <w:ind w:left="410"/>
              <w:textAlignment w:val="baseline"/>
              <w:rPr>
                <w:rFonts w:ascii="Calibri" w:eastAsia="Times New Roman" w:hAnsi="Calibri" w:cs="Calibri"/>
                <w:kern w:val="0"/>
                <w:lang w:eastAsia="en-GB"/>
                <w14:ligatures w14:val="none"/>
              </w:rPr>
            </w:pPr>
            <w:hyperlink r:id="rId20" w:history="1">
              <w:r w:rsidR="005E5C56" w:rsidRPr="00BC7141">
                <w:rPr>
                  <w:rStyle w:val="Hyperlink"/>
                  <w:rFonts w:ascii="Calibri" w:eastAsia="Times New Roman" w:hAnsi="Calibri" w:cs="Calibri"/>
                  <w:kern w:val="0"/>
                  <w:lang w:eastAsia="en-GB"/>
                  <w14:ligatures w14:val="none"/>
                </w:rPr>
                <w:t>https://cdn.cseindia.org/COP28/Article6.pdf</w:t>
              </w:r>
            </w:hyperlink>
            <w:r w:rsidR="005E5C56">
              <w:rPr>
                <w:rFonts w:ascii="Calibri" w:eastAsia="Times New Roman" w:hAnsi="Calibri" w:cs="Calibri"/>
                <w:kern w:val="0"/>
                <w:lang w:eastAsia="en-GB"/>
                <w14:ligatures w14:val="none"/>
              </w:rPr>
              <w:t xml:space="preserve"> </w:t>
            </w:r>
          </w:p>
          <w:p w14:paraId="5D34CBBB" w14:textId="3915408D" w:rsidR="0040144A" w:rsidRDefault="0040144A" w:rsidP="0040144A">
            <w:pPr>
              <w:pStyle w:val="ListParagraph"/>
              <w:numPr>
                <w:ilvl w:val="0"/>
                <w:numId w:val="52"/>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United Nations Sustainable Development Goals</w:t>
            </w:r>
          </w:p>
          <w:p w14:paraId="402BEDEE" w14:textId="6D5BFEA8" w:rsidR="0040144A" w:rsidRPr="0040144A" w:rsidRDefault="001859AC" w:rsidP="0040144A">
            <w:pPr>
              <w:pStyle w:val="ListParagraph"/>
              <w:ind w:left="410"/>
              <w:textAlignment w:val="baseline"/>
              <w:rPr>
                <w:rFonts w:ascii="Calibri" w:eastAsia="Times New Roman" w:hAnsi="Calibri" w:cs="Calibri"/>
                <w:kern w:val="0"/>
                <w:lang w:eastAsia="en-GB"/>
                <w14:ligatures w14:val="none"/>
              </w:rPr>
            </w:pPr>
            <w:hyperlink r:id="rId21" w:history="1">
              <w:r w:rsidR="005E5C56" w:rsidRPr="00BC7141">
                <w:rPr>
                  <w:rStyle w:val="Hyperlink"/>
                  <w:rFonts w:ascii="Calibri" w:eastAsia="Times New Roman" w:hAnsi="Calibri" w:cs="Calibri"/>
                  <w:kern w:val="0"/>
                  <w:lang w:eastAsia="en-GB"/>
                  <w14:ligatures w14:val="none"/>
                </w:rPr>
                <w:t>https://sdgs.un.org/goals</w:t>
              </w:r>
            </w:hyperlink>
            <w:r w:rsidR="005E5C56">
              <w:rPr>
                <w:rFonts w:ascii="Calibri" w:eastAsia="Times New Roman" w:hAnsi="Calibri" w:cs="Calibri"/>
                <w:kern w:val="0"/>
                <w:lang w:eastAsia="en-GB"/>
                <w14:ligatures w14:val="none"/>
              </w:rPr>
              <w:t xml:space="preserve"> </w:t>
            </w:r>
          </w:p>
          <w:p w14:paraId="7CA05CB5" w14:textId="77777777" w:rsidR="0040144A" w:rsidRDefault="0040144A" w:rsidP="0040144A">
            <w:pPr>
              <w:pStyle w:val="ListParagraph"/>
              <w:numPr>
                <w:ilvl w:val="0"/>
                <w:numId w:val="52"/>
              </w:num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Climate Change Act 2021</w:t>
            </w:r>
          </w:p>
          <w:p w14:paraId="5635CD78" w14:textId="2D85F2D8" w:rsidR="0040144A" w:rsidRPr="0040144A" w:rsidRDefault="001859AC" w:rsidP="0040144A">
            <w:pPr>
              <w:pStyle w:val="ListParagraph"/>
              <w:ind w:left="410"/>
              <w:textAlignment w:val="baseline"/>
              <w:rPr>
                <w:rFonts w:ascii="Calibri" w:eastAsia="Times New Roman" w:hAnsi="Calibri" w:cs="Calibri"/>
                <w:kern w:val="0"/>
                <w:lang w:eastAsia="en-GB"/>
                <w14:ligatures w14:val="none"/>
              </w:rPr>
            </w:pPr>
            <w:hyperlink r:id="rId22" w:history="1">
              <w:r w:rsidR="005E5C56" w:rsidRPr="00BC7141">
                <w:rPr>
                  <w:rStyle w:val="Hyperlink"/>
                  <w:rFonts w:ascii="Calibri" w:eastAsia="Times New Roman" w:hAnsi="Calibri" w:cs="Calibri"/>
                  <w:kern w:val="0"/>
                  <w:lang w:eastAsia="en-GB"/>
                  <w14:ligatures w14:val="none"/>
                </w:rPr>
                <w:t>https://faolex.fao.org/docs/pdf/NIG208055.pdf</w:t>
              </w:r>
            </w:hyperlink>
            <w:r w:rsidR="005E5C56">
              <w:rPr>
                <w:rFonts w:ascii="Calibri" w:eastAsia="Times New Roman" w:hAnsi="Calibri" w:cs="Calibri"/>
                <w:kern w:val="0"/>
                <w:lang w:eastAsia="en-GB"/>
                <w14:ligatures w14:val="none"/>
              </w:rPr>
              <w:t xml:space="preserve">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62E841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35BD6">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0329479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35BD6">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61ABA6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35BD6">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1126E1C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35BD6">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1BB00AA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435BD6">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5FC796EC" w:rsidR="00FE7FA5" w:rsidRPr="009C4D10" w:rsidRDefault="00435BD6"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X</w:t>
            </w: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4F2A3613" w:rsidR="00FE7FA5" w:rsidRPr="009C4D10" w:rsidRDefault="00435BD6"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4D207" w14:textId="77777777" w:rsidR="00FE7FA5" w:rsidRDefault="00435BD6" w:rsidP="00CF2E7C">
            <w:pPr>
              <w:textAlignment w:val="baseline"/>
              <w:rPr>
                <w:rFonts w:eastAsia="Times New Roman" w:cstheme="minorHAnsi"/>
                <w:kern w:val="0"/>
                <w:lang w:eastAsia="en-GB"/>
                <w14:ligatures w14:val="none"/>
              </w:rPr>
            </w:pPr>
            <w:r w:rsidRPr="00435BD6">
              <w:rPr>
                <w:rFonts w:eastAsia="Times New Roman" w:cstheme="minorHAnsi"/>
                <w:kern w:val="0"/>
                <w:lang w:eastAsia="en-GB"/>
                <w14:ligatures w14:val="none"/>
              </w:rPr>
              <w:t xml:space="preserve">The </w:t>
            </w:r>
            <w:r>
              <w:rPr>
                <w:rFonts w:eastAsia="Times New Roman" w:cstheme="minorHAnsi"/>
                <w:kern w:val="0"/>
                <w:lang w:eastAsia="en-GB"/>
                <w14:ligatures w14:val="none"/>
              </w:rPr>
              <w:t xml:space="preserve">policy tool </w:t>
            </w:r>
            <w:r w:rsidRPr="00435BD6">
              <w:rPr>
                <w:rFonts w:eastAsia="Times New Roman" w:cstheme="minorHAnsi"/>
                <w:kern w:val="0"/>
                <w:lang w:eastAsia="en-GB"/>
                <w14:ligatures w14:val="none"/>
              </w:rPr>
              <w:t xml:space="preserve">references Article 6.2 </w:t>
            </w:r>
            <w:r w:rsidR="002F7A37">
              <w:rPr>
                <w:rFonts w:eastAsia="Times New Roman" w:cstheme="minorHAnsi"/>
                <w:kern w:val="0"/>
                <w:lang w:eastAsia="en-GB"/>
                <w14:ligatures w14:val="none"/>
              </w:rPr>
              <w:t>of the Paris Agreement which c</w:t>
            </w:r>
            <w:r w:rsidR="002F7A37" w:rsidRPr="002F7A37">
              <w:rPr>
                <w:rFonts w:eastAsia="Times New Roman" w:cstheme="minorHAnsi"/>
                <w:kern w:val="0"/>
                <w:lang w:eastAsia="en-GB"/>
                <w14:ligatures w14:val="none"/>
              </w:rPr>
              <w:t>alls for transparency and the avoidance of double counting when two parties engage in the international transfer of emission reductions, referred to as Mitigation Outcomes. These transferred mitigation outcomes contribute to the NDC targets of the purchasing party, while the selling party must make a corresponding adjustment, effectively removing (“un-counting”) these reductions from its own NDC accounting</w:t>
            </w:r>
            <w:r w:rsidR="002F7A37">
              <w:rPr>
                <w:rFonts w:eastAsia="Times New Roman" w:cstheme="minorHAnsi"/>
                <w:kern w:val="0"/>
                <w:lang w:eastAsia="en-GB"/>
                <w14:ligatures w14:val="none"/>
              </w:rPr>
              <w:t>. (Page 9 Paragraphs 2 and 3 ).</w:t>
            </w:r>
          </w:p>
          <w:p w14:paraId="08F9B0DF" w14:textId="2ECB4920" w:rsidR="002F7A37" w:rsidRPr="009C4D10" w:rsidRDefault="002F7A37"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376616E3" w:rsidR="00392F82" w:rsidRPr="009C4D10" w:rsidRDefault="002F7A37"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X</w:t>
            </w: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6288D64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r w:rsidR="002F7A37">
              <w:rPr>
                <w:rFonts w:eastAsia="Times New Roman" w:cstheme="minorHAnsi"/>
                <w:kern w:val="0"/>
                <w:lang w:eastAsia="en-GB"/>
                <w14:ligatures w14:val="none"/>
              </w:rPr>
              <w:t>X</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E354D2" w14:textId="678A10F2" w:rsidR="00146C5B" w:rsidRDefault="00146C5B" w:rsidP="00146C5B">
            <w:pPr>
              <w:textAlignment w:val="baseline"/>
              <w:rPr>
                <w:rFonts w:eastAsia="Times New Roman" w:cstheme="minorHAnsi"/>
                <w:kern w:val="0"/>
                <w:lang w:val="en-US" w:eastAsia="en-GB"/>
                <w14:ligatures w14:val="none"/>
              </w:rPr>
            </w:pPr>
            <w:r>
              <w:rPr>
                <w:rFonts w:eastAsia="Times New Roman" w:cstheme="minorHAnsi"/>
                <w:kern w:val="0"/>
                <w:lang w:val="en-US" w:eastAsia="en-GB"/>
                <w14:ligatures w14:val="none"/>
              </w:rPr>
              <w:t>T</w:t>
            </w:r>
            <w:r w:rsidRPr="00146C5B">
              <w:rPr>
                <w:rFonts w:eastAsia="Times New Roman" w:cstheme="minorHAnsi"/>
                <w:kern w:val="0"/>
                <w:lang w:val="en-US" w:eastAsia="en-GB"/>
                <w14:ligatures w14:val="none"/>
              </w:rPr>
              <w:t>he policy tool outlines plans for a national carbon market</w:t>
            </w:r>
            <w:r>
              <w:rPr>
                <w:rFonts w:eastAsia="Times New Roman" w:cstheme="minorHAnsi"/>
                <w:kern w:val="0"/>
                <w:lang w:val="en-US" w:eastAsia="en-GB"/>
                <w14:ligatures w14:val="none"/>
              </w:rPr>
              <w:t xml:space="preserve">. </w:t>
            </w:r>
            <w:r w:rsidRPr="00146C5B">
              <w:rPr>
                <w:rFonts w:eastAsia="Times New Roman" w:cstheme="minorHAnsi"/>
                <w:kern w:val="0"/>
                <w:lang w:val="en-US" w:eastAsia="en-GB"/>
                <w14:ligatures w14:val="none"/>
              </w:rPr>
              <w:t xml:space="preserve">This trading mechanism includes voluntary and </w:t>
            </w:r>
            <w:r>
              <w:rPr>
                <w:rFonts w:eastAsia="Times New Roman" w:cstheme="minorHAnsi"/>
                <w:kern w:val="0"/>
                <w:lang w:val="en-US" w:eastAsia="en-GB"/>
                <w14:ligatures w14:val="none"/>
              </w:rPr>
              <w:t>mandatory</w:t>
            </w:r>
            <w:r w:rsidRPr="00146C5B">
              <w:rPr>
                <w:rFonts w:eastAsia="Times New Roman" w:cstheme="minorHAnsi"/>
                <w:kern w:val="0"/>
                <w:lang w:val="en-US" w:eastAsia="en-GB"/>
                <w14:ligatures w14:val="none"/>
              </w:rPr>
              <w:t xml:space="preserve"> carbon markets</w:t>
            </w:r>
            <w:r>
              <w:rPr>
                <w:rFonts w:eastAsia="Times New Roman" w:cstheme="minorHAnsi"/>
                <w:kern w:val="0"/>
                <w:lang w:val="en-US" w:eastAsia="en-GB"/>
                <w14:ligatures w14:val="none"/>
              </w:rPr>
              <w:t>.</w:t>
            </w:r>
          </w:p>
          <w:p w14:paraId="0F9D2BE0" w14:textId="43BC6BA0" w:rsidR="00146C5B" w:rsidRPr="00146C5B" w:rsidRDefault="00146C5B" w:rsidP="00146C5B">
            <w:pPr>
              <w:textAlignment w:val="baseline"/>
              <w:rPr>
                <w:rFonts w:eastAsia="Times New Roman" w:cstheme="minorHAnsi"/>
                <w:kern w:val="0"/>
                <w:lang w:val="en-US" w:eastAsia="en-GB"/>
                <w14:ligatures w14:val="none"/>
              </w:rPr>
            </w:pPr>
            <w:r>
              <w:rPr>
                <w:rFonts w:eastAsia="Times New Roman" w:cstheme="minorHAnsi"/>
                <w:kern w:val="0"/>
                <w:lang w:val="en-US" w:eastAsia="en-GB"/>
                <w14:ligatures w14:val="none"/>
              </w:rPr>
              <w:t>(Pages 3, 4 and 5)</w:t>
            </w:r>
          </w:p>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4B6D7D89" w:rsidR="00392F82" w:rsidRPr="009C4D10" w:rsidRDefault="00BE35DC"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sidR="00BA19C0" w:rsidRPr="00BA19C0">
              <w:rPr>
                <w:rFonts w:eastAsia="Times New Roman" w:cstheme="minorHAnsi"/>
                <w:kern w:val="0"/>
                <w:lang w:eastAsia="en-GB"/>
                <w14:ligatures w14:val="none"/>
              </w:rPr>
              <w:t xml:space="preserve">The </w:t>
            </w:r>
            <w:r w:rsidR="00BA19C0">
              <w:rPr>
                <w:rFonts w:eastAsia="Times New Roman" w:cstheme="minorHAnsi"/>
                <w:kern w:val="0"/>
                <w:lang w:eastAsia="en-GB"/>
                <w14:ligatures w14:val="none"/>
              </w:rPr>
              <w:t>policy tool</w:t>
            </w:r>
            <w:r w:rsidR="00BA19C0" w:rsidRPr="00BA19C0">
              <w:rPr>
                <w:rFonts w:eastAsia="Times New Roman" w:cstheme="minorHAnsi"/>
                <w:kern w:val="0"/>
                <w:lang w:eastAsia="en-GB"/>
                <w14:ligatures w14:val="none"/>
              </w:rPr>
              <w:t xml:space="preserve"> </w:t>
            </w:r>
            <w:r w:rsidR="005E5C56">
              <w:rPr>
                <w:rFonts w:eastAsia="Times New Roman" w:cstheme="minorHAnsi"/>
                <w:kern w:val="0"/>
                <w:lang w:eastAsia="en-GB"/>
                <w14:ligatures w14:val="none"/>
              </w:rPr>
              <w:t>envisages the protection of</w:t>
            </w:r>
            <w:r w:rsidR="00BA19C0" w:rsidRPr="00BA19C0">
              <w:rPr>
                <w:rFonts w:eastAsia="Times New Roman" w:cstheme="minorHAnsi"/>
                <w:kern w:val="0"/>
                <w:lang w:eastAsia="en-GB"/>
                <w14:ligatures w14:val="none"/>
              </w:rPr>
              <w:t xml:space="preserve"> market integrity and orderly credit exchange through the establishment of a national carbon registry, implementation of an MRV system, and alignment with credible international standards</w:t>
            </w:r>
            <w:r w:rsidR="00BA19C0">
              <w:rPr>
                <w:rFonts w:eastAsia="Times New Roman" w:cstheme="minorHAnsi"/>
                <w:kern w:val="0"/>
                <w:lang w:eastAsia="en-GB"/>
                <w14:ligatures w14:val="none"/>
              </w:rPr>
              <w:t>. (Pages 10 Paragraph 3)</w:t>
            </w: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6C334E"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1859AC" w:rsidP="00CF2E7C">
            <w:pPr>
              <w:rPr>
                <w:rFonts w:cstheme="minorHAnsi"/>
              </w:rPr>
            </w:pPr>
            <w:hyperlink r:id="rId23"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1859AC" w:rsidP="00CF2E7C">
            <w:pPr>
              <w:rPr>
                <w:rFonts w:cstheme="minorHAnsi"/>
              </w:rPr>
            </w:pPr>
            <w:hyperlink r:id="rId24"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6C334E"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5"/>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FE3C3D" w14:textId="77777777" w:rsidR="001859AC" w:rsidRDefault="001859AC" w:rsidP="00874E39">
      <w:r>
        <w:separator/>
      </w:r>
    </w:p>
  </w:endnote>
  <w:endnote w:type="continuationSeparator" w:id="0">
    <w:p w14:paraId="352B16B4" w14:textId="77777777" w:rsidR="001859AC" w:rsidRDefault="001859AC" w:rsidP="00874E39">
      <w:r>
        <w:continuationSeparator/>
      </w:r>
    </w:p>
  </w:endnote>
  <w:endnote w:type="continuationNotice" w:id="1">
    <w:p w14:paraId="598A1AC3" w14:textId="77777777" w:rsidR="001859AC" w:rsidRDefault="001859A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oel="http://schemas.microsoft.com/office/2019/extlst" xmlns:w16du="http://schemas.microsoft.com/office/word/2023/wordml/word16du" xmlns:w16sdtfl="http://schemas.microsoft.com/office/word/2024/wordml/sdtformatlo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C8AA6F" w14:textId="77777777" w:rsidR="001859AC" w:rsidRDefault="001859AC" w:rsidP="00874E39">
      <w:r>
        <w:separator/>
      </w:r>
    </w:p>
  </w:footnote>
  <w:footnote w:type="continuationSeparator" w:id="0">
    <w:p w14:paraId="079C47C6" w14:textId="77777777" w:rsidR="001859AC" w:rsidRDefault="001859AC" w:rsidP="00874E39">
      <w:r>
        <w:continuationSeparator/>
      </w:r>
    </w:p>
  </w:footnote>
  <w:footnote w:type="continuationNotice" w:id="1">
    <w:p w14:paraId="19320D01" w14:textId="77777777" w:rsidR="001859AC" w:rsidRDefault="001859A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ED52CB1"/>
    <w:multiLevelType w:val="multilevel"/>
    <w:tmpl w:val="6EEAA6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AAE2144"/>
    <w:multiLevelType w:val="multilevel"/>
    <w:tmpl w:val="D090CA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1580D0F"/>
    <w:multiLevelType w:val="multilevel"/>
    <w:tmpl w:val="7AA0D62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360"/>
        </w:tabs>
        <w:ind w:left="36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7"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8"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9"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0"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1" w15:restartNumberingAfterBreak="0">
    <w:nsid w:val="4966077E"/>
    <w:multiLevelType w:val="multilevel"/>
    <w:tmpl w:val="26A25A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A657528"/>
    <w:multiLevelType w:val="hybridMultilevel"/>
    <w:tmpl w:val="DD047324"/>
    <w:lvl w:ilvl="0" w:tplc="E29C0406">
      <w:start w:val="1"/>
      <w:numFmt w:val="decimal"/>
      <w:lvlText w:val="%1."/>
      <w:lvlJc w:val="left"/>
      <w:pPr>
        <w:ind w:left="410" w:hanging="360"/>
      </w:pPr>
      <w:rPr>
        <w:rFonts w:hint="default"/>
      </w:rPr>
    </w:lvl>
    <w:lvl w:ilvl="1" w:tplc="04090019" w:tentative="1">
      <w:start w:val="1"/>
      <w:numFmt w:val="lowerLetter"/>
      <w:lvlText w:val="%2."/>
      <w:lvlJc w:val="left"/>
      <w:pPr>
        <w:ind w:left="1130" w:hanging="360"/>
      </w:pPr>
    </w:lvl>
    <w:lvl w:ilvl="2" w:tplc="0409001B" w:tentative="1">
      <w:start w:val="1"/>
      <w:numFmt w:val="lowerRoman"/>
      <w:lvlText w:val="%3."/>
      <w:lvlJc w:val="right"/>
      <w:pPr>
        <w:ind w:left="1850" w:hanging="180"/>
      </w:pPr>
    </w:lvl>
    <w:lvl w:ilvl="3" w:tplc="0409000F" w:tentative="1">
      <w:start w:val="1"/>
      <w:numFmt w:val="decimal"/>
      <w:lvlText w:val="%4."/>
      <w:lvlJc w:val="left"/>
      <w:pPr>
        <w:ind w:left="2570" w:hanging="360"/>
      </w:pPr>
    </w:lvl>
    <w:lvl w:ilvl="4" w:tplc="04090019" w:tentative="1">
      <w:start w:val="1"/>
      <w:numFmt w:val="lowerLetter"/>
      <w:lvlText w:val="%5."/>
      <w:lvlJc w:val="left"/>
      <w:pPr>
        <w:ind w:left="3290" w:hanging="360"/>
      </w:pPr>
    </w:lvl>
    <w:lvl w:ilvl="5" w:tplc="0409001B" w:tentative="1">
      <w:start w:val="1"/>
      <w:numFmt w:val="lowerRoman"/>
      <w:lvlText w:val="%6."/>
      <w:lvlJc w:val="right"/>
      <w:pPr>
        <w:ind w:left="4010" w:hanging="180"/>
      </w:pPr>
    </w:lvl>
    <w:lvl w:ilvl="6" w:tplc="0409000F" w:tentative="1">
      <w:start w:val="1"/>
      <w:numFmt w:val="decimal"/>
      <w:lvlText w:val="%7."/>
      <w:lvlJc w:val="left"/>
      <w:pPr>
        <w:ind w:left="4730" w:hanging="360"/>
      </w:pPr>
    </w:lvl>
    <w:lvl w:ilvl="7" w:tplc="04090019" w:tentative="1">
      <w:start w:val="1"/>
      <w:numFmt w:val="lowerLetter"/>
      <w:lvlText w:val="%8."/>
      <w:lvlJc w:val="left"/>
      <w:pPr>
        <w:ind w:left="5450" w:hanging="360"/>
      </w:pPr>
    </w:lvl>
    <w:lvl w:ilvl="8" w:tplc="0409001B" w:tentative="1">
      <w:start w:val="1"/>
      <w:numFmt w:val="lowerRoman"/>
      <w:lvlText w:val="%9."/>
      <w:lvlJc w:val="right"/>
      <w:pPr>
        <w:ind w:left="6170" w:hanging="180"/>
      </w:p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8"/>
  </w:num>
  <w:num w:numId="2">
    <w:abstractNumId w:val="26"/>
  </w:num>
  <w:num w:numId="3">
    <w:abstractNumId w:val="45"/>
  </w:num>
  <w:num w:numId="4">
    <w:abstractNumId w:val="1"/>
  </w:num>
  <w:num w:numId="5">
    <w:abstractNumId w:val="32"/>
  </w:num>
  <w:num w:numId="6">
    <w:abstractNumId w:val="14"/>
  </w:num>
  <w:num w:numId="7">
    <w:abstractNumId w:val="22"/>
  </w:num>
  <w:num w:numId="8">
    <w:abstractNumId w:val="38"/>
  </w:num>
  <w:num w:numId="9">
    <w:abstractNumId w:val="3"/>
  </w:num>
  <w:num w:numId="10">
    <w:abstractNumId w:val="35"/>
  </w:num>
  <w:num w:numId="11">
    <w:abstractNumId w:val="52"/>
  </w:num>
  <w:num w:numId="12">
    <w:abstractNumId w:val="10"/>
  </w:num>
  <w:num w:numId="13">
    <w:abstractNumId w:val="12"/>
  </w:num>
  <w:num w:numId="14">
    <w:abstractNumId w:val="8"/>
  </w:num>
  <w:num w:numId="15">
    <w:abstractNumId w:val="34"/>
  </w:num>
  <w:num w:numId="16">
    <w:abstractNumId w:val="21"/>
  </w:num>
  <w:num w:numId="17">
    <w:abstractNumId w:val="9"/>
  </w:num>
  <w:num w:numId="18">
    <w:abstractNumId w:val="19"/>
  </w:num>
  <w:num w:numId="19">
    <w:abstractNumId w:val="47"/>
  </w:num>
  <w:num w:numId="20">
    <w:abstractNumId w:val="17"/>
  </w:num>
  <w:num w:numId="21">
    <w:abstractNumId w:val="30"/>
  </w:num>
  <w:num w:numId="22">
    <w:abstractNumId w:val="37"/>
  </w:num>
  <w:num w:numId="23">
    <w:abstractNumId w:val="29"/>
  </w:num>
  <w:num w:numId="24">
    <w:abstractNumId w:val="49"/>
  </w:num>
  <w:num w:numId="25">
    <w:abstractNumId w:val="48"/>
  </w:num>
  <w:num w:numId="26">
    <w:abstractNumId w:val="24"/>
  </w:num>
  <w:num w:numId="27">
    <w:abstractNumId w:val="7"/>
  </w:num>
  <w:num w:numId="28">
    <w:abstractNumId w:val="13"/>
  </w:num>
  <w:num w:numId="29">
    <w:abstractNumId w:val="50"/>
  </w:num>
  <w:num w:numId="30">
    <w:abstractNumId w:val="36"/>
  </w:num>
  <w:num w:numId="31">
    <w:abstractNumId w:val="33"/>
  </w:num>
  <w:num w:numId="32">
    <w:abstractNumId w:val="39"/>
  </w:num>
  <w:num w:numId="33">
    <w:abstractNumId w:val="43"/>
  </w:num>
  <w:num w:numId="34">
    <w:abstractNumId w:val="42"/>
  </w:num>
  <w:num w:numId="35">
    <w:abstractNumId w:val="11"/>
  </w:num>
  <w:num w:numId="36">
    <w:abstractNumId w:val="41"/>
  </w:num>
  <w:num w:numId="37">
    <w:abstractNumId w:val="4"/>
  </w:num>
  <w:num w:numId="38">
    <w:abstractNumId w:val="2"/>
  </w:num>
  <w:num w:numId="39">
    <w:abstractNumId w:val="27"/>
  </w:num>
  <w:num w:numId="40">
    <w:abstractNumId w:val="23"/>
  </w:num>
  <w:num w:numId="41">
    <w:abstractNumId w:val="20"/>
  </w:num>
  <w:num w:numId="42">
    <w:abstractNumId w:val="16"/>
  </w:num>
  <w:num w:numId="43">
    <w:abstractNumId w:val="0"/>
  </w:num>
  <w:num w:numId="44">
    <w:abstractNumId w:val="6"/>
  </w:num>
  <w:num w:numId="45">
    <w:abstractNumId w:val="44"/>
  </w:num>
  <w:num w:numId="46">
    <w:abstractNumId w:val="51"/>
  </w:num>
  <w:num w:numId="47">
    <w:abstractNumId w:val="28"/>
  </w:num>
  <w:num w:numId="48">
    <w:abstractNumId w:val="40"/>
  </w:num>
  <w:num w:numId="49">
    <w:abstractNumId w:val="31"/>
  </w:num>
  <w:num w:numId="50">
    <w:abstractNumId w:val="15"/>
  </w:num>
  <w:num w:numId="51">
    <w:abstractNumId w:val="5"/>
  </w:num>
  <w:num w:numId="52">
    <w:abstractNumId w:val="46"/>
  </w:num>
  <w:num w:numId="53">
    <w:abstractNumId w:val="2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2CF"/>
    <w:rsid w:val="00030C1E"/>
    <w:rsid w:val="000334B6"/>
    <w:rsid w:val="0003453A"/>
    <w:rsid w:val="00034EDB"/>
    <w:rsid w:val="00035464"/>
    <w:rsid w:val="000372C9"/>
    <w:rsid w:val="000403CE"/>
    <w:rsid w:val="00040F2E"/>
    <w:rsid w:val="00040F48"/>
    <w:rsid w:val="00041BB2"/>
    <w:rsid w:val="00042406"/>
    <w:rsid w:val="00042518"/>
    <w:rsid w:val="000428FA"/>
    <w:rsid w:val="000447D0"/>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5C0E"/>
    <w:rsid w:val="0008744D"/>
    <w:rsid w:val="00087549"/>
    <w:rsid w:val="00090E3B"/>
    <w:rsid w:val="00091947"/>
    <w:rsid w:val="00091A8C"/>
    <w:rsid w:val="00091B67"/>
    <w:rsid w:val="00092534"/>
    <w:rsid w:val="00092E1C"/>
    <w:rsid w:val="00093CA9"/>
    <w:rsid w:val="000948C7"/>
    <w:rsid w:val="00096371"/>
    <w:rsid w:val="000966D3"/>
    <w:rsid w:val="000A0D34"/>
    <w:rsid w:val="000A101E"/>
    <w:rsid w:val="000A1365"/>
    <w:rsid w:val="000A1490"/>
    <w:rsid w:val="000A1828"/>
    <w:rsid w:val="000A1917"/>
    <w:rsid w:val="000A1C25"/>
    <w:rsid w:val="000A3C19"/>
    <w:rsid w:val="000A4B53"/>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53FC"/>
    <w:rsid w:val="00136F5B"/>
    <w:rsid w:val="00137257"/>
    <w:rsid w:val="00137BB2"/>
    <w:rsid w:val="00140A55"/>
    <w:rsid w:val="00140BD0"/>
    <w:rsid w:val="00141D8E"/>
    <w:rsid w:val="00142B76"/>
    <w:rsid w:val="00142F56"/>
    <w:rsid w:val="00144C6B"/>
    <w:rsid w:val="00145138"/>
    <w:rsid w:val="001457F8"/>
    <w:rsid w:val="00146B77"/>
    <w:rsid w:val="00146C5B"/>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3BA2"/>
    <w:rsid w:val="00164519"/>
    <w:rsid w:val="00172B85"/>
    <w:rsid w:val="00173D7C"/>
    <w:rsid w:val="0017449C"/>
    <w:rsid w:val="001749C3"/>
    <w:rsid w:val="00176011"/>
    <w:rsid w:val="00180289"/>
    <w:rsid w:val="00182288"/>
    <w:rsid w:val="00182646"/>
    <w:rsid w:val="00183170"/>
    <w:rsid w:val="00184609"/>
    <w:rsid w:val="001859AC"/>
    <w:rsid w:val="00185C8C"/>
    <w:rsid w:val="00187B73"/>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52A"/>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7A37"/>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6EBE"/>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0F0"/>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FBC"/>
    <w:rsid w:val="003F1282"/>
    <w:rsid w:val="003F1C8E"/>
    <w:rsid w:val="003F1E87"/>
    <w:rsid w:val="003F256E"/>
    <w:rsid w:val="003F2B00"/>
    <w:rsid w:val="003F2E77"/>
    <w:rsid w:val="003F338D"/>
    <w:rsid w:val="003F39C3"/>
    <w:rsid w:val="003F4908"/>
    <w:rsid w:val="003F5B6F"/>
    <w:rsid w:val="003F680F"/>
    <w:rsid w:val="00400800"/>
    <w:rsid w:val="0040144A"/>
    <w:rsid w:val="00401843"/>
    <w:rsid w:val="004024D0"/>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5BD6"/>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61CF"/>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4EDF"/>
    <w:rsid w:val="004B666D"/>
    <w:rsid w:val="004B739E"/>
    <w:rsid w:val="004B77AB"/>
    <w:rsid w:val="004C006D"/>
    <w:rsid w:val="004C0CD7"/>
    <w:rsid w:val="004C20B7"/>
    <w:rsid w:val="004C3866"/>
    <w:rsid w:val="004C3A52"/>
    <w:rsid w:val="004C41EB"/>
    <w:rsid w:val="004C6739"/>
    <w:rsid w:val="004C70AC"/>
    <w:rsid w:val="004D2730"/>
    <w:rsid w:val="004D3416"/>
    <w:rsid w:val="004D5810"/>
    <w:rsid w:val="004D6484"/>
    <w:rsid w:val="004D7C53"/>
    <w:rsid w:val="004E4F56"/>
    <w:rsid w:val="004E51B5"/>
    <w:rsid w:val="004F0C55"/>
    <w:rsid w:val="004F276F"/>
    <w:rsid w:val="004F48E8"/>
    <w:rsid w:val="004F529B"/>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B6A"/>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3BF8"/>
    <w:rsid w:val="00536B60"/>
    <w:rsid w:val="00537706"/>
    <w:rsid w:val="005405A8"/>
    <w:rsid w:val="00541713"/>
    <w:rsid w:val="00542E3C"/>
    <w:rsid w:val="00543246"/>
    <w:rsid w:val="005439FC"/>
    <w:rsid w:val="00543A7C"/>
    <w:rsid w:val="00543D45"/>
    <w:rsid w:val="00544705"/>
    <w:rsid w:val="00545554"/>
    <w:rsid w:val="0054662E"/>
    <w:rsid w:val="0054680A"/>
    <w:rsid w:val="00546A27"/>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AF4"/>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5C56"/>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510"/>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6FDD"/>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3BE"/>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A703D"/>
    <w:rsid w:val="006B07E5"/>
    <w:rsid w:val="006B0C0B"/>
    <w:rsid w:val="006B1C4A"/>
    <w:rsid w:val="006B2C46"/>
    <w:rsid w:val="006B4FC8"/>
    <w:rsid w:val="006B6168"/>
    <w:rsid w:val="006B61C2"/>
    <w:rsid w:val="006B7780"/>
    <w:rsid w:val="006B7B0D"/>
    <w:rsid w:val="006C0BEF"/>
    <w:rsid w:val="006C0C8C"/>
    <w:rsid w:val="006C1651"/>
    <w:rsid w:val="006C1E8E"/>
    <w:rsid w:val="006C334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4C07"/>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579"/>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03A9"/>
    <w:rsid w:val="007B1CB8"/>
    <w:rsid w:val="007B2322"/>
    <w:rsid w:val="007B25C8"/>
    <w:rsid w:val="007B3452"/>
    <w:rsid w:val="007B5A31"/>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295B"/>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094"/>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53D5"/>
    <w:rsid w:val="00895B2E"/>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4DA6"/>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CB9"/>
    <w:rsid w:val="00966139"/>
    <w:rsid w:val="00966160"/>
    <w:rsid w:val="00966C8D"/>
    <w:rsid w:val="0097030B"/>
    <w:rsid w:val="00970C82"/>
    <w:rsid w:val="0097116D"/>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511B"/>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0C5E"/>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5F3D"/>
    <w:rsid w:val="009C67FA"/>
    <w:rsid w:val="009C6906"/>
    <w:rsid w:val="009D0813"/>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6AC"/>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6C29"/>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B73"/>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AB2"/>
    <w:rsid w:val="00A57E93"/>
    <w:rsid w:val="00A60DA8"/>
    <w:rsid w:val="00A6137C"/>
    <w:rsid w:val="00A615A6"/>
    <w:rsid w:val="00A623D0"/>
    <w:rsid w:val="00A631EB"/>
    <w:rsid w:val="00A711B3"/>
    <w:rsid w:val="00A71C2B"/>
    <w:rsid w:val="00A72E82"/>
    <w:rsid w:val="00A76248"/>
    <w:rsid w:val="00A76423"/>
    <w:rsid w:val="00A773D0"/>
    <w:rsid w:val="00A77738"/>
    <w:rsid w:val="00A7786A"/>
    <w:rsid w:val="00A779A2"/>
    <w:rsid w:val="00A80131"/>
    <w:rsid w:val="00A818E6"/>
    <w:rsid w:val="00A81A71"/>
    <w:rsid w:val="00A84C61"/>
    <w:rsid w:val="00A8625C"/>
    <w:rsid w:val="00A86DFE"/>
    <w:rsid w:val="00A86FBB"/>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6B01"/>
    <w:rsid w:val="00AD70E0"/>
    <w:rsid w:val="00AE0028"/>
    <w:rsid w:val="00AE00FE"/>
    <w:rsid w:val="00AE0451"/>
    <w:rsid w:val="00AE0803"/>
    <w:rsid w:val="00AE0ADB"/>
    <w:rsid w:val="00AE2662"/>
    <w:rsid w:val="00AE3CBD"/>
    <w:rsid w:val="00AE5D21"/>
    <w:rsid w:val="00AE6422"/>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2A77"/>
    <w:rsid w:val="00B03475"/>
    <w:rsid w:val="00B03E4A"/>
    <w:rsid w:val="00B0479E"/>
    <w:rsid w:val="00B048EF"/>
    <w:rsid w:val="00B05B53"/>
    <w:rsid w:val="00B0643B"/>
    <w:rsid w:val="00B065CB"/>
    <w:rsid w:val="00B068ED"/>
    <w:rsid w:val="00B1013D"/>
    <w:rsid w:val="00B1077E"/>
    <w:rsid w:val="00B114FD"/>
    <w:rsid w:val="00B1161B"/>
    <w:rsid w:val="00B11965"/>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77471"/>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9C0"/>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5DC"/>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0C2"/>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3BAC"/>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2DC"/>
    <w:rsid w:val="00C73FAD"/>
    <w:rsid w:val="00C74636"/>
    <w:rsid w:val="00C74D69"/>
    <w:rsid w:val="00C75536"/>
    <w:rsid w:val="00C758F8"/>
    <w:rsid w:val="00C76331"/>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02AD"/>
    <w:rsid w:val="00CB1649"/>
    <w:rsid w:val="00CB179D"/>
    <w:rsid w:val="00CB1A7C"/>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6BC2"/>
    <w:rsid w:val="00D004AD"/>
    <w:rsid w:val="00D01B92"/>
    <w:rsid w:val="00D02935"/>
    <w:rsid w:val="00D02C80"/>
    <w:rsid w:val="00D02FA1"/>
    <w:rsid w:val="00D03595"/>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15B7"/>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473"/>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0AC9"/>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84C"/>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7CA"/>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A2D"/>
    <w:rsid w:val="00F60B38"/>
    <w:rsid w:val="00F6108E"/>
    <w:rsid w:val="00F61CB7"/>
    <w:rsid w:val="00F62379"/>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06"/>
    <w:rsid w:val="00F96F02"/>
    <w:rsid w:val="00F973EA"/>
    <w:rsid w:val="00F97EEE"/>
    <w:rsid w:val="00FA0392"/>
    <w:rsid w:val="00FA0CF8"/>
    <w:rsid w:val="00FA119A"/>
    <w:rsid w:val="00FA2299"/>
    <w:rsid w:val="00FA2D54"/>
    <w:rsid w:val="00FA38D8"/>
    <w:rsid w:val="00FA4B8D"/>
    <w:rsid w:val="00FA6DED"/>
    <w:rsid w:val="00FA76DF"/>
    <w:rsid w:val="00FA78EA"/>
    <w:rsid w:val="00FB5A70"/>
    <w:rsid w:val="00FC0689"/>
    <w:rsid w:val="00FC13F0"/>
    <w:rsid w:val="00FC337B"/>
    <w:rsid w:val="00FC5AA7"/>
    <w:rsid w:val="00FC6E48"/>
    <w:rsid w:val="00FD0D3C"/>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DF0AC9"/>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1510469">
      <w:bodyDiv w:val="1"/>
      <w:marLeft w:val="0"/>
      <w:marRight w:val="0"/>
      <w:marTop w:val="0"/>
      <w:marBottom w:val="0"/>
      <w:divBdr>
        <w:top w:val="none" w:sz="0" w:space="0" w:color="auto"/>
        <w:left w:val="none" w:sz="0" w:space="0" w:color="auto"/>
        <w:bottom w:val="none" w:sz="0" w:space="0" w:color="auto"/>
        <w:right w:val="none" w:sz="0" w:space="0" w:color="auto"/>
      </w:divBdr>
    </w:div>
    <w:div w:id="179703395">
      <w:bodyDiv w:val="1"/>
      <w:marLeft w:val="0"/>
      <w:marRight w:val="0"/>
      <w:marTop w:val="0"/>
      <w:marBottom w:val="0"/>
      <w:divBdr>
        <w:top w:val="none" w:sz="0" w:space="0" w:color="auto"/>
        <w:left w:val="none" w:sz="0" w:space="0" w:color="auto"/>
        <w:bottom w:val="none" w:sz="0" w:space="0" w:color="auto"/>
        <w:right w:val="none" w:sz="0" w:space="0" w:color="auto"/>
      </w:divBdr>
    </w:div>
    <w:div w:id="195971823">
      <w:bodyDiv w:val="1"/>
      <w:marLeft w:val="0"/>
      <w:marRight w:val="0"/>
      <w:marTop w:val="0"/>
      <w:marBottom w:val="0"/>
      <w:divBdr>
        <w:top w:val="none" w:sz="0" w:space="0" w:color="auto"/>
        <w:left w:val="none" w:sz="0" w:space="0" w:color="auto"/>
        <w:bottom w:val="none" w:sz="0" w:space="0" w:color="auto"/>
        <w:right w:val="none" w:sz="0" w:space="0" w:color="auto"/>
      </w:divBdr>
    </w:div>
    <w:div w:id="382366453">
      <w:bodyDiv w:val="1"/>
      <w:marLeft w:val="0"/>
      <w:marRight w:val="0"/>
      <w:marTop w:val="0"/>
      <w:marBottom w:val="0"/>
      <w:divBdr>
        <w:top w:val="none" w:sz="0" w:space="0" w:color="auto"/>
        <w:left w:val="none" w:sz="0" w:space="0" w:color="auto"/>
        <w:bottom w:val="none" w:sz="0" w:space="0" w:color="auto"/>
        <w:right w:val="none" w:sz="0" w:space="0" w:color="auto"/>
      </w:divBdr>
    </w:div>
    <w:div w:id="38826743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0897588">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62005958">
      <w:bodyDiv w:val="1"/>
      <w:marLeft w:val="0"/>
      <w:marRight w:val="0"/>
      <w:marTop w:val="0"/>
      <w:marBottom w:val="0"/>
      <w:divBdr>
        <w:top w:val="none" w:sz="0" w:space="0" w:color="auto"/>
        <w:left w:val="none" w:sz="0" w:space="0" w:color="auto"/>
        <w:bottom w:val="none" w:sz="0" w:space="0" w:color="auto"/>
        <w:right w:val="none" w:sz="0" w:space="0" w:color="auto"/>
      </w:divBdr>
    </w:div>
    <w:div w:id="701829390">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2160806">
      <w:bodyDiv w:val="1"/>
      <w:marLeft w:val="0"/>
      <w:marRight w:val="0"/>
      <w:marTop w:val="0"/>
      <w:marBottom w:val="0"/>
      <w:divBdr>
        <w:top w:val="none" w:sz="0" w:space="0" w:color="auto"/>
        <w:left w:val="none" w:sz="0" w:space="0" w:color="auto"/>
        <w:bottom w:val="none" w:sz="0" w:space="0" w:color="auto"/>
        <w:right w:val="none" w:sz="0" w:space="0" w:color="auto"/>
      </w:divBdr>
    </w:div>
    <w:div w:id="843007813">
      <w:bodyDiv w:val="1"/>
      <w:marLeft w:val="0"/>
      <w:marRight w:val="0"/>
      <w:marTop w:val="0"/>
      <w:marBottom w:val="0"/>
      <w:divBdr>
        <w:top w:val="none" w:sz="0" w:space="0" w:color="auto"/>
        <w:left w:val="none" w:sz="0" w:space="0" w:color="auto"/>
        <w:bottom w:val="none" w:sz="0" w:space="0" w:color="auto"/>
        <w:right w:val="none" w:sz="0" w:space="0" w:color="auto"/>
      </w:divBdr>
    </w:div>
    <w:div w:id="876545234">
      <w:bodyDiv w:val="1"/>
      <w:marLeft w:val="0"/>
      <w:marRight w:val="0"/>
      <w:marTop w:val="0"/>
      <w:marBottom w:val="0"/>
      <w:divBdr>
        <w:top w:val="none" w:sz="0" w:space="0" w:color="auto"/>
        <w:left w:val="none" w:sz="0" w:space="0" w:color="auto"/>
        <w:bottom w:val="none" w:sz="0" w:space="0" w:color="auto"/>
        <w:right w:val="none" w:sz="0" w:space="0" w:color="auto"/>
      </w:divBdr>
    </w:div>
    <w:div w:id="880214089">
      <w:bodyDiv w:val="1"/>
      <w:marLeft w:val="0"/>
      <w:marRight w:val="0"/>
      <w:marTop w:val="0"/>
      <w:marBottom w:val="0"/>
      <w:divBdr>
        <w:top w:val="none" w:sz="0" w:space="0" w:color="auto"/>
        <w:left w:val="none" w:sz="0" w:space="0" w:color="auto"/>
        <w:bottom w:val="none" w:sz="0" w:space="0" w:color="auto"/>
        <w:right w:val="none" w:sz="0" w:space="0" w:color="auto"/>
      </w:divBdr>
    </w:div>
    <w:div w:id="929705654">
      <w:bodyDiv w:val="1"/>
      <w:marLeft w:val="0"/>
      <w:marRight w:val="0"/>
      <w:marTop w:val="0"/>
      <w:marBottom w:val="0"/>
      <w:divBdr>
        <w:top w:val="none" w:sz="0" w:space="0" w:color="auto"/>
        <w:left w:val="none" w:sz="0" w:space="0" w:color="auto"/>
        <w:bottom w:val="none" w:sz="0" w:space="0" w:color="auto"/>
        <w:right w:val="none" w:sz="0" w:space="0" w:color="auto"/>
      </w:divBdr>
    </w:div>
    <w:div w:id="1025710393">
      <w:bodyDiv w:val="1"/>
      <w:marLeft w:val="0"/>
      <w:marRight w:val="0"/>
      <w:marTop w:val="0"/>
      <w:marBottom w:val="0"/>
      <w:divBdr>
        <w:top w:val="none" w:sz="0" w:space="0" w:color="auto"/>
        <w:left w:val="none" w:sz="0" w:space="0" w:color="auto"/>
        <w:bottom w:val="none" w:sz="0" w:space="0" w:color="auto"/>
        <w:right w:val="none" w:sz="0" w:space="0" w:color="auto"/>
      </w:divBdr>
      <w:divsChild>
        <w:div w:id="2082555527">
          <w:marLeft w:val="0"/>
          <w:marRight w:val="0"/>
          <w:marTop w:val="0"/>
          <w:marBottom w:val="0"/>
          <w:divBdr>
            <w:top w:val="none" w:sz="0" w:space="0" w:color="auto"/>
            <w:left w:val="none" w:sz="0" w:space="0" w:color="auto"/>
            <w:bottom w:val="none" w:sz="0" w:space="0" w:color="auto"/>
            <w:right w:val="none" w:sz="0" w:space="0" w:color="auto"/>
          </w:divBdr>
          <w:divsChild>
            <w:div w:id="1820609284">
              <w:marLeft w:val="0"/>
              <w:marRight w:val="0"/>
              <w:marTop w:val="0"/>
              <w:marBottom w:val="0"/>
              <w:divBdr>
                <w:top w:val="none" w:sz="0" w:space="0" w:color="auto"/>
                <w:left w:val="none" w:sz="0" w:space="0" w:color="auto"/>
                <w:bottom w:val="none" w:sz="0" w:space="0" w:color="auto"/>
                <w:right w:val="none" w:sz="0" w:space="0" w:color="auto"/>
              </w:divBdr>
              <w:divsChild>
                <w:div w:id="351346036">
                  <w:marLeft w:val="0"/>
                  <w:marRight w:val="0"/>
                  <w:marTop w:val="0"/>
                  <w:marBottom w:val="0"/>
                  <w:divBdr>
                    <w:top w:val="none" w:sz="0" w:space="0" w:color="auto"/>
                    <w:left w:val="none" w:sz="0" w:space="0" w:color="auto"/>
                    <w:bottom w:val="none" w:sz="0" w:space="0" w:color="auto"/>
                    <w:right w:val="none" w:sz="0" w:space="0" w:color="auto"/>
                  </w:divBdr>
                  <w:divsChild>
                    <w:div w:id="815102428">
                      <w:marLeft w:val="0"/>
                      <w:marRight w:val="0"/>
                      <w:marTop w:val="0"/>
                      <w:marBottom w:val="0"/>
                      <w:divBdr>
                        <w:top w:val="none" w:sz="0" w:space="0" w:color="auto"/>
                        <w:left w:val="none" w:sz="0" w:space="0" w:color="auto"/>
                        <w:bottom w:val="none" w:sz="0" w:space="0" w:color="auto"/>
                        <w:right w:val="none" w:sz="0" w:space="0" w:color="auto"/>
                      </w:divBdr>
                      <w:divsChild>
                        <w:div w:id="1264261627">
                          <w:marLeft w:val="0"/>
                          <w:marRight w:val="0"/>
                          <w:marTop w:val="0"/>
                          <w:marBottom w:val="0"/>
                          <w:divBdr>
                            <w:top w:val="none" w:sz="0" w:space="0" w:color="auto"/>
                            <w:left w:val="none" w:sz="0" w:space="0" w:color="auto"/>
                            <w:bottom w:val="none" w:sz="0" w:space="0" w:color="auto"/>
                            <w:right w:val="none" w:sz="0" w:space="0" w:color="auto"/>
                          </w:divBdr>
                          <w:divsChild>
                            <w:div w:id="2033333817">
                              <w:marLeft w:val="0"/>
                              <w:marRight w:val="0"/>
                              <w:marTop w:val="0"/>
                              <w:marBottom w:val="0"/>
                              <w:divBdr>
                                <w:top w:val="none" w:sz="0" w:space="0" w:color="auto"/>
                                <w:left w:val="none" w:sz="0" w:space="0" w:color="auto"/>
                                <w:bottom w:val="none" w:sz="0" w:space="0" w:color="auto"/>
                                <w:right w:val="none" w:sz="0" w:space="0" w:color="auto"/>
                              </w:divBdr>
                              <w:divsChild>
                                <w:div w:id="290522539">
                                  <w:marLeft w:val="0"/>
                                  <w:marRight w:val="0"/>
                                  <w:marTop w:val="0"/>
                                  <w:marBottom w:val="0"/>
                                  <w:divBdr>
                                    <w:top w:val="none" w:sz="0" w:space="0" w:color="auto"/>
                                    <w:left w:val="none" w:sz="0" w:space="0" w:color="auto"/>
                                    <w:bottom w:val="none" w:sz="0" w:space="0" w:color="auto"/>
                                    <w:right w:val="none" w:sz="0" w:space="0" w:color="auto"/>
                                  </w:divBdr>
                                  <w:divsChild>
                                    <w:div w:id="1108817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75667981">
      <w:bodyDiv w:val="1"/>
      <w:marLeft w:val="0"/>
      <w:marRight w:val="0"/>
      <w:marTop w:val="0"/>
      <w:marBottom w:val="0"/>
      <w:divBdr>
        <w:top w:val="none" w:sz="0" w:space="0" w:color="auto"/>
        <w:left w:val="none" w:sz="0" w:space="0" w:color="auto"/>
        <w:bottom w:val="none" w:sz="0" w:space="0" w:color="auto"/>
        <w:right w:val="none" w:sz="0" w:space="0" w:color="auto"/>
      </w:divBdr>
    </w:div>
    <w:div w:id="1077706371">
      <w:bodyDiv w:val="1"/>
      <w:marLeft w:val="0"/>
      <w:marRight w:val="0"/>
      <w:marTop w:val="0"/>
      <w:marBottom w:val="0"/>
      <w:divBdr>
        <w:top w:val="none" w:sz="0" w:space="0" w:color="auto"/>
        <w:left w:val="none" w:sz="0" w:space="0" w:color="auto"/>
        <w:bottom w:val="none" w:sz="0" w:space="0" w:color="auto"/>
        <w:right w:val="none" w:sz="0" w:space="0" w:color="auto"/>
      </w:divBdr>
    </w:div>
    <w:div w:id="1112742593">
      <w:bodyDiv w:val="1"/>
      <w:marLeft w:val="0"/>
      <w:marRight w:val="0"/>
      <w:marTop w:val="0"/>
      <w:marBottom w:val="0"/>
      <w:divBdr>
        <w:top w:val="none" w:sz="0" w:space="0" w:color="auto"/>
        <w:left w:val="none" w:sz="0" w:space="0" w:color="auto"/>
        <w:bottom w:val="none" w:sz="0" w:space="0" w:color="auto"/>
        <w:right w:val="none" w:sz="0" w:space="0" w:color="auto"/>
      </w:divBdr>
      <w:divsChild>
        <w:div w:id="1352342638">
          <w:marLeft w:val="0"/>
          <w:marRight w:val="0"/>
          <w:marTop w:val="0"/>
          <w:marBottom w:val="0"/>
          <w:divBdr>
            <w:top w:val="none" w:sz="0" w:space="0" w:color="auto"/>
            <w:left w:val="none" w:sz="0" w:space="0" w:color="auto"/>
            <w:bottom w:val="none" w:sz="0" w:space="0" w:color="auto"/>
            <w:right w:val="none" w:sz="0" w:space="0" w:color="auto"/>
          </w:divBdr>
          <w:divsChild>
            <w:div w:id="69743181">
              <w:marLeft w:val="0"/>
              <w:marRight w:val="0"/>
              <w:marTop w:val="0"/>
              <w:marBottom w:val="0"/>
              <w:divBdr>
                <w:top w:val="none" w:sz="0" w:space="0" w:color="auto"/>
                <w:left w:val="none" w:sz="0" w:space="0" w:color="auto"/>
                <w:bottom w:val="none" w:sz="0" w:space="0" w:color="auto"/>
                <w:right w:val="none" w:sz="0" w:space="0" w:color="auto"/>
              </w:divBdr>
              <w:divsChild>
                <w:div w:id="636180586">
                  <w:marLeft w:val="0"/>
                  <w:marRight w:val="0"/>
                  <w:marTop w:val="0"/>
                  <w:marBottom w:val="0"/>
                  <w:divBdr>
                    <w:top w:val="none" w:sz="0" w:space="0" w:color="auto"/>
                    <w:left w:val="none" w:sz="0" w:space="0" w:color="auto"/>
                    <w:bottom w:val="none" w:sz="0" w:space="0" w:color="auto"/>
                    <w:right w:val="none" w:sz="0" w:space="0" w:color="auto"/>
                  </w:divBdr>
                  <w:divsChild>
                    <w:div w:id="1209760584">
                      <w:marLeft w:val="0"/>
                      <w:marRight w:val="0"/>
                      <w:marTop w:val="0"/>
                      <w:marBottom w:val="0"/>
                      <w:divBdr>
                        <w:top w:val="none" w:sz="0" w:space="0" w:color="auto"/>
                        <w:left w:val="none" w:sz="0" w:space="0" w:color="auto"/>
                        <w:bottom w:val="none" w:sz="0" w:space="0" w:color="auto"/>
                        <w:right w:val="none" w:sz="0" w:space="0" w:color="auto"/>
                      </w:divBdr>
                      <w:divsChild>
                        <w:div w:id="1089157709">
                          <w:marLeft w:val="0"/>
                          <w:marRight w:val="0"/>
                          <w:marTop w:val="0"/>
                          <w:marBottom w:val="0"/>
                          <w:divBdr>
                            <w:top w:val="none" w:sz="0" w:space="0" w:color="auto"/>
                            <w:left w:val="none" w:sz="0" w:space="0" w:color="auto"/>
                            <w:bottom w:val="none" w:sz="0" w:space="0" w:color="auto"/>
                            <w:right w:val="none" w:sz="0" w:space="0" w:color="auto"/>
                          </w:divBdr>
                          <w:divsChild>
                            <w:div w:id="523830364">
                              <w:marLeft w:val="0"/>
                              <w:marRight w:val="0"/>
                              <w:marTop w:val="0"/>
                              <w:marBottom w:val="0"/>
                              <w:divBdr>
                                <w:top w:val="none" w:sz="0" w:space="0" w:color="auto"/>
                                <w:left w:val="none" w:sz="0" w:space="0" w:color="auto"/>
                                <w:bottom w:val="none" w:sz="0" w:space="0" w:color="auto"/>
                                <w:right w:val="none" w:sz="0" w:space="0" w:color="auto"/>
                              </w:divBdr>
                              <w:divsChild>
                                <w:div w:id="77335593">
                                  <w:marLeft w:val="0"/>
                                  <w:marRight w:val="0"/>
                                  <w:marTop w:val="0"/>
                                  <w:marBottom w:val="0"/>
                                  <w:divBdr>
                                    <w:top w:val="none" w:sz="0" w:space="0" w:color="auto"/>
                                    <w:left w:val="none" w:sz="0" w:space="0" w:color="auto"/>
                                    <w:bottom w:val="none" w:sz="0" w:space="0" w:color="auto"/>
                                    <w:right w:val="none" w:sz="0" w:space="0" w:color="auto"/>
                                  </w:divBdr>
                                  <w:divsChild>
                                    <w:div w:id="238710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47668684">
      <w:bodyDiv w:val="1"/>
      <w:marLeft w:val="0"/>
      <w:marRight w:val="0"/>
      <w:marTop w:val="0"/>
      <w:marBottom w:val="0"/>
      <w:divBdr>
        <w:top w:val="none" w:sz="0" w:space="0" w:color="auto"/>
        <w:left w:val="none" w:sz="0" w:space="0" w:color="auto"/>
        <w:bottom w:val="none" w:sz="0" w:space="0" w:color="auto"/>
        <w:right w:val="none" w:sz="0" w:space="0" w:color="auto"/>
      </w:divBdr>
    </w:div>
    <w:div w:id="1168444991">
      <w:bodyDiv w:val="1"/>
      <w:marLeft w:val="0"/>
      <w:marRight w:val="0"/>
      <w:marTop w:val="0"/>
      <w:marBottom w:val="0"/>
      <w:divBdr>
        <w:top w:val="none" w:sz="0" w:space="0" w:color="auto"/>
        <w:left w:val="none" w:sz="0" w:space="0" w:color="auto"/>
        <w:bottom w:val="none" w:sz="0" w:space="0" w:color="auto"/>
        <w:right w:val="none" w:sz="0" w:space="0" w:color="auto"/>
      </w:divBdr>
    </w:div>
    <w:div w:id="1190920785">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8255960">
      <w:bodyDiv w:val="1"/>
      <w:marLeft w:val="0"/>
      <w:marRight w:val="0"/>
      <w:marTop w:val="0"/>
      <w:marBottom w:val="0"/>
      <w:divBdr>
        <w:top w:val="none" w:sz="0" w:space="0" w:color="auto"/>
        <w:left w:val="none" w:sz="0" w:space="0" w:color="auto"/>
        <w:bottom w:val="none" w:sz="0" w:space="0" w:color="auto"/>
        <w:right w:val="none" w:sz="0" w:space="0" w:color="auto"/>
      </w:divBdr>
    </w:div>
    <w:div w:id="1562132513">
      <w:bodyDiv w:val="1"/>
      <w:marLeft w:val="0"/>
      <w:marRight w:val="0"/>
      <w:marTop w:val="0"/>
      <w:marBottom w:val="0"/>
      <w:divBdr>
        <w:top w:val="none" w:sz="0" w:space="0" w:color="auto"/>
        <w:left w:val="none" w:sz="0" w:space="0" w:color="auto"/>
        <w:bottom w:val="none" w:sz="0" w:space="0" w:color="auto"/>
        <w:right w:val="none" w:sz="0" w:space="0" w:color="auto"/>
      </w:divBdr>
    </w:div>
    <w:div w:id="1659647335">
      <w:bodyDiv w:val="1"/>
      <w:marLeft w:val="0"/>
      <w:marRight w:val="0"/>
      <w:marTop w:val="0"/>
      <w:marBottom w:val="0"/>
      <w:divBdr>
        <w:top w:val="none" w:sz="0" w:space="0" w:color="auto"/>
        <w:left w:val="none" w:sz="0" w:space="0" w:color="auto"/>
        <w:bottom w:val="none" w:sz="0" w:space="0" w:color="auto"/>
        <w:right w:val="none" w:sz="0" w:space="0" w:color="auto"/>
      </w:divBdr>
    </w:div>
    <w:div w:id="1746682394">
      <w:bodyDiv w:val="1"/>
      <w:marLeft w:val="0"/>
      <w:marRight w:val="0"/>
      <w:marTop w:val="0"/>
      <w:marBottom w:val="0"/>
      <w:divBdr>
        <w:top w:val="none" w:sz="0" w:space="0" w:color="auto"/>
        <w:left w:val="none" w:sz="0" w:space="0" w:color="auto"/>
        <w:bottom w:val="none" w:sz="0" w:space="0" w:color="auto"/>
        <w:right w:val="none" w:sz="0" w:space="0" w:color="auto"/>
      </w:divBdr>
    </w:div>
    <w:div w:id="1780948404">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24293668">
      <w:bodyDiv w:val="1"/>
      <w:marLeft w:val="0"/>
      <w:marRight w:val="0"/>
      <w:marTop w:val="0"/>
      <w:marBottom w:val="0"/>
      <w:divBdr>
        <w:top w:val="none" w:sz="0" w:space="0" w:color="auto"/>
        <w:left w:val="none" w:sz="0" w:space="0" w:color="auto"/>
        <w:bottom w:val="none" w:sz="0" w:space="0" w:color="auto"/>
        <w:right w:val="none" w:sz="0" w:space="0" w:color="auto"/>
      </w:divBdr>
    </w:div>
    <w:div w:id="2021010222">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79410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unfccc.int/resource/docs/convkp/conveng.pdf"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s://sdgs.un.org/goals"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rosehillgroupe.com/wp-content/uploads/2023/10/Carbon-Market.pdf" TargetMode="External"/><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cdn.cseindia.org/COP28/Article6.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fsb.org/uploads/P131022-1.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bis.org/fsi/fsibriefs18.pdf" TargetMode="External"/><Relationship Id="rId10" Type="http://schemas.openxmlformats.org/officeDocument/2006/relationships/endnotes" Target="endnotes.xml"/><Relationship Id="rId19" Type="http://schemas.openxmlformats.org/officeDocument/2006/relationships/hyperlink" Target="https://unfccc.int/resource/docs/convkp/kpeng.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faolex.fao.org/docs/pdf/NIG208055.pdf" TargetMode="External"/><Relationship Id="rId27"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111</Pages>
  <Words>22451</Words>
  <Characters>127975</Characters>
  <Application>Microsoft Office Word</Application>
  <DocSecurity>0</DocSecurity>
  <Lines>1066</Lines>
  <Paragraphs>300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150126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Wonuola Abioye</cp:lastModifiedBy>
  <cp:revision>4</cp:revision>
  <cp:lastPrinted>2025-03-21T00:14:00Z</cp:lastPrinted>
  <dcterms:created xsi:type="dcterms:W3CDTF">2025-07-27T12:59:00Z</dcterms:created>
  <dcterms:modified xsi:type="dcterms:W3CDTF">2025-08-03T21:21:00Z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